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64F7D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64F7D" w:rsidRDefault="00C30192" w:rsidP="00864F7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75BEE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.1pt;height:55.7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864F7D" w:rsidRDefault="00864F7D" w:rsidP="00864F7D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864F7D" w:rsidRDefault="00E33B3B" w:rsidP="00864F7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4F7D" w:rsidRDefault="000E4773" w:rsidP="00864F7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B449F2" wp14:editId="4B85796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F7FC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NOWE TRENDY W TOWAROZNAWSTWIE SPOŻYWCZYM</w:t>
            </w:r>
          </w:p>
        </w:tc>
      </w:tr>
      <w:tr w:rsidR="00EA2721" w:rsidRPr="00C30192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9F7FC9" w:rsidRDefault="009F7FC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9F7FC9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NEW TRENDS IN COMMODITY SCIENCE</w:t>
            </w:r>
          </w:p>
        </w:tc>
      </w:tr>
    </w:tbl>
    <w:p w:rsidR="00177487" w:rsidRPr="009F7FC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33B3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F7FC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F7FC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F7FC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F7FC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66B4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9F7FC9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66B4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="009F7FC9">
              <w:rPr>
                <w:rFonts w:ascii="Times New Roman" w:hAnsi="Times New Roman" w:cs="Times New Roman"/>
                <w:b/>
                <w:sz w:val="24"/>
                <w:szCs w:val="20"/>
              </w:rPr>
              <w:t>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E1620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9F7FC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618C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733E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618C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E46B3C" w:rsidRDefault="00E46B3C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Studenci powinni posiadać wiedzę z zakresu towaroznawstwa artykułów spożywczych, metod badań jakości towarów oraz bezpieczeństwa żywności.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BE457F" w:rsidRDefault="00E46B3C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Celem przedmiotu jest zapoznanie studentów ze szczegółowymi zagadnieniami dotyczącymi jakości nowych</w:t>
            </w:r>
            <w:r w:rsidR="00F618C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żywnościowych wraz z charakterystyką zastosowanych metod produkcji. </w:t>
            </w:r>
          </w:p>
          <w:p w:rsidR="004F47B4" w:rsidRPr="00B73E75" w:rsidRDefault="00E46B3C" w:rsidP="00F61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Zakres ćwiczeń obejmuje ocenę</w:t>
            </w:r>
            <w:r w:rsidR="00BE457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nowych produktów spożywczych z wybranych grup żywności.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8220A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A61E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8220A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C30192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92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C3019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30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A61E7" w:rsidRPr="00C3019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220A6" w:rsidRPr="00B73E75" w:rsidTr="008220A6">
        <w:tc>
          <w:tcPr>
            <w:tcW w:w="959" w:type="dxa"/>
            <w:vAlign w:val="center"/>
          </w:tcPr>
          <w:p w:rsidR="008220A6" w:rsidRPr="00B73E75" w:rsidRDefault="008220A6" w:rsidP="0082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8220A6" w:rsidRPr="00C9558B" w:rsidRDefault="008220A6" w:rsidP="008220A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charakteryzuje dobór i wpływ surowców, procesów technologicznych oraz</w:t>
            </w:r>
          </w:p>
          <w:p w:rsidR="008220A6" w:rsidRPr="00C9558B" w:rsidRDefault="008220A6" w:rsidP="008220A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opakowań na jakość nowych produktów spożywczych, wymienia dział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ania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podejmowane przez producentów żywności na rzecz ochrony środowiska, ocenia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właściwości nowych produktów spożywczych, wyjaśnia aspekty jakości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tych produktów, potrafi pracować indywidualnie i w grupie,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wykazuje odpowiedzialność za powierzany sprzęt, za pracę własną i innych,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rozumie podstawowe zasady etyki.</w:t>
            </w:r>
          </w:p>
        </w:tc>
        <w:tc>
          <w:tcPr>
            <w:tcW w:w="2015" w:type="dxa"/>
            <w:vAlign w:val="center"/>
          </w:tcPr>
          <w:p w:rsidR="008220A6" w:rsidRPr="00C9558B" w:rsidRDefault="008220A6" w:rsidP="0082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NK_W05, NK_W09, NK_U11</w:t>
            </w:r>
          </w:p>
        </w:tc>
      </w:tr>
      <w:tr w:rsidR="008220A6" w:rsidRPr="00B73E75" w:rsidTr="008220A6">
        <w:tc>
          <w:tcPr>
            <w:tcW w:w="959" w:type="dxa"/>
            <w:vAlign w:val="center"/>
          </w:tcPr>
          <w:p w:rsidR="008220A6" w:rsidRPr="00B73E75" w:rsidRDefault="008220A6" w:rsidP="0082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8220A6" w:rsidRPr="00C9558B" w:rsidRDefault="008220A6" w:rsidP="008220A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prezentuje wiedzę na temat nowych produktów spoż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ywczych oraz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znajomość zasad planowania badań oraz nowocze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snych technik zbierania danych,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przeprowadza analizę porównawczą cech jakoś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sensorycznej oraz zdrowotnej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produktó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spożywczych nowych oraz tradycyjnych w danej grupie żywnoś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ci,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analizuje rynek nowych produktów na podstawie jego wartości i wielkoś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ci,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wykazuje inicjatywę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działaniach, potrafi obiektywnie ocenić wkł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ad pracy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własnej i innych, potrafi kierować małym zespołem.</w:t>
            </w:r>
          </w:p>
        </w:tc>
        <w:tc>
          <w:tcPr>
            <w:tcW w:w="2015" w:type="dxa"/>
            <w:vAlign w:val="center"/>
          </w:tcPr>
          <w:p w:rsidR="008220A6" w:rsidRPr="00C9558B" w:rsidRDefault="008220A6" w:rsidP="0082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NK_W04,  NK_W05, NK_W07, NK_U03, NK_U04, NK_U07, NK_U08, NK_K02</w:t>
            </w:r>
          </w:p>
        </w:tc>
      </w:tr>
    </w:tbl>
    <w:p w:rsidR="0082446F" w:rsidRDefault="0082446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6F6C43" w:rsidRPr="00B73E75" w:rsidTr="00845A37">
        <w:tc>
          <w:tcPr>
            <w:tcW w:w="959" w:type="dxa"/>
            <w:vAlign w:val="center"/>
          </w:tcPr>
          <w:p w:rsidR="006F6C43" w:rsidRPr="00B73E75" w:rsidRDefault="00C9558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139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6F6C43" w:rsidRPr="00C9558B" w:rsidRDefault="003131CD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prezentuje znajomość bieżących problemó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naukowych w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towaroznawstwie spożywczym na podstawie aktualnych publikacji w wiodących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przeglądowych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czasopismach krajowych, cyt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uje regulacje prawne w zakresie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żywności, nakreśla kierunki rozwojowe w przemyś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spożywczym, wyjaśnia zasady kształtowania ochrony i oceny jakoś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oraz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zdrowotnego produktów spożywczych, potrafi ocenić możliwość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wykorzystania nowych metod badawczych, wykazuje umiejętność postę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powania w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nagłych stanach zagrożenia życia i zdrowia zespołów.</w:t>
            </w:r>
          </w:p>
        </w:tc>
        <w:tc>
          <w:tcPr>
            <w:tcW w:w="2015" w:type="dxa"/>
            <w:vAlign w:val="center"/>
          </w:tcPr>
          <w:p w:rsidR="006F6C43" w:rsidRPr="004139C0" w:rsidRDefault="008220A6" w:rsidP="00F618C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NK_W06, NK_U09, NK_K01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23400C">
        <w:tc>
          <w:tcPr>
            <w:tcW w:w="5778" w:type="dxa"/>
            <w:vAlign w:val="center"/>
          </w:tcPr>
          <w:p w:rsidR="00E41568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mleczarskie.</w:t>
            </w:r>
            <w:r w:rsidR="004139C0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 oceny i ochrony jakości produktów z wykorzystaniem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metod sensorycznych, fizykoch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emicznych i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zagadnień jakości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bezpieczeństwa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zdrowotnego surowców i 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oraz opakowań i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E41568" w:rsidRPr="0023400C" w:rsidRDefault="00F618C5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F6ACB" w:rsidRPr="0023400C" w:rsidRDefault="009F6ACB" w:rsidP="009F6ACB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1, 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2,</w:t>
            </w:r>
          </w:p>
          <w:p w:rsidR="00E41568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4F47B4" w:rsidRPr="00B73E75" w:rsidTr="0023400C">
        <w:tc>
          <w:tcPr>
            <w:tcW w:w="5778" w:type="dxa"/>
            <w:vAlign w:val="center"/>
          </w:tcPr>
          <w:p w:rsidR="004F47B4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mięsn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 i rybne.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 oceny i ochrony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produktów z wykorzystaniem metod sensorycznych, fizykochemicznych i instrumentalnych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zagadnień jakości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bezpieczeństwa zdrowotnego surowców 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oraz opakowań i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4F47B4" w:rsidRPr="0023400C" w:rsidRDefault="00F618C5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4F47B4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zakresie przypraw, używ</w:t>
            </w:r>
            <w:bookmarkStart w:id="0" w:name="_GoBack"/>
            <w:bookmarkEnd w:id="0"/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 oraz ek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straktów ziół.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 oceny i ochrony jakości produktów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wykorzystaniem metod sensorycznych,</w:t>
            </w:r>
            <w:r w:rsidR="0034693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fizykochemicznych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 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zagadnień jakości i bezpieczeństwa zdrowotnego surowców 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oraz</w:t>
            </w:r>
            <w:r w:rsidR="0034693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opakowań, jak również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F618C5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zakresie napojów bezalk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oholowych.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</w:t>
            </w:r>
            <w:r w:rsidR="000733E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oceny i ochrony jakości produktów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 wykorzystaniem metod sensorycznych, fizykochemicznych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zagadnień jakości i bezpieczeństwa zdrowotnego surowców i produktów oraz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opakowań</w:t>
            </w:r>
            <w:r w:rsidR="0034693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łącznie z 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4693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zagospodarowaniem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F618C5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branży zbożowej oraz owocowo - wa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rzywnej.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ształtowania, oceny i ochrony jakości produktów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wykorzystaniem metod sensorycznych,</w:t>
            </w:r>
            <w:r w:rsidR="000733E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fizykoche</w:t>
            </w:r>
            <w:r w:rsidR="000733E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micznych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="000733E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zagadnień jakości i bezpieczeństwa zdrowotnego surowców i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0733E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oraz opakowań oraz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F618C5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produktów mleczarskich.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0733ED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przypraw i używek.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0733ED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towaroznawcza wybranych nowych produktów mięsnych </w:t>
            </w:r>
            <w:r w:rsidR="0082446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rybnych.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0733ED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rodzajów napojów bezalkoholowych.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0733ED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F61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produktów przetwarzania zbóż, owoców i warzyw.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0733ED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618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0733E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BE457F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A61E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BE457F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BE457F">
        <w:tc>
          <w:tcPr>
            <w:tcW w:w="893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BE457F">
        <w:tc>
          <w:tcPr>
            <w:tcW w:w="893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8F" w:rsidRPr="00B73E75" w:rsidTr="00BE457F">
        <w:tc>
          <w:tcPr>
            <w:tcW w:w="893" w:type="dxa"/>
            <w:vAlign w:val="center"/>
          </w:tcPr>
          <w:p w:rsidR="003E728F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3E728F" w:rsidRPr="00B73E75" w:rsidRDefault="000733E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E728F" w:rsidRPr="00B73E75" w:rsidRDefault="0023400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E728F" w:rsidRPr="00B73E75" w:rsidRDefault="0023400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46F" w:rsidRDefault="0082446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3131CD">
        <w:tc>
          <w:tcPr>
            <w:tcW w:w="991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3131CD">
        <w:tc>
          <w:tcPr>
            <w:tcW w:w="9911" w:type="dxa"/>
          </w:tcPr>
          <w:p w:rsidR="00E41568" w:rsidRPr="0023400C" w:rsidRDefault="009F6ACB" w:rsidP="00F618C5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Uzyskanie, co najmniej 60% punktów oznacza zaliczenie egzaminu z wynikiem pozytywnym. Zaliczenie ćwiczeń student uzyskuje na podstawie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100% obecności na planowanych zajęciach laboratoryjnych, zaliczenia wszystkich sprawozdań </w:t>
            </w:r>
            <w:r w:rsidR="00F5264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tych zajęć oraz uzyskania co najmniej 60%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punktów testu pisemnego.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9B16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0733E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3131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131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57C8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131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131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8676E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8676E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9B16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66B4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3131C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281B4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81B4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E728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81B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576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A32D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1529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9F6ACB" w:rsidRDefault="00834EDF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Biller E.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9F6ACB"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Technologia żywności – wybrane zagadnienia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SGGW, Warszawa  2005</w:t>
            </w:r>
          </w:p>
          <w:p w:rsidR="003206DB" w:rsidRPr="00C30192" w:rsidRDefault="003206DB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</w:pPr>
            <w:proofErr w:type="spellStart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>Borkowska</w:t>
            </w:r>
            <w:proofErr w:type="spellEnd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 xml:space="preserve"> B., </w:t>
            </w:r>
            <w:proofErr w:type="spellStart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>Bialkowska</w:t>
            </w:r>
            <w:proofErr w:type="spellEnd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 xml:space="preserve"> P.,  </w:t>
            </w:r>
            <w:proofErr w:type="spellStart"/>
            <w:r w:rsidRPr="00C30192">
              <w:rPr>
                <w:rFonts w:ascii="Times New Roman" w:hAnsi="Times New Roman" w:cs="Times New Roman"/>
                <w:i/>
                <w:color w:val="111E2B"/>
                <w:sz w:val="20"/>
                <w:szCs w:val="20"/>
                <w:lang w:val="en-GB"/>
              </w:rPr>
              <w:t>Evoluation</w:t>
            </w:r>
            <w:proofErr w:type="spellEnd"/>
            <w:r w:rsidRPr="00C30192">
              <w:rPr>
                <w:rFonts w:ascii="Times New Roman" w:hAnsi="Times New Roman" w:cs="Times New Roman"/>
                <w:i/>
                <w:color w:val="111E2B"/>
                <w:sz w:val="20"/>
                <w:szCs w:val="20"/>
                <w:lang w:val="en-GB"/>
              </w:rPr>
              <w:t xml:space="preserve"> of consumer awareness of hemp and its applications in different industries,</w:t>
            </w:r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 xml:space="preserve"> Scientific Journal Maritime University, 2019,110, </w:t>
            </w:r>
            <w:proofErr w:type="spellStart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>s.7</w:t>
            </w:r>
            <w:proofErr w:type="spellEnd"/>
            <w:r w:rsidRPr="00C30192">
              <w:rPr>
                <w:rFonts w:ascii="Times New Roman" w:hAnsi="Times New Roman" w:cs="Times New Roman"/>
                <w:color w:val="111E2B"/>
                <w:sz w:val="20"/>
                <w:szCs w:val="20"/>
                <w:lang w:val="en-GB"/>
              </w:rPr>
              <w:t>-16</w:t>
            </w:r>
          </w:p>
          <w:p w:rsidR="009F6ACB" w:rsidRDefault="0023400C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Gerting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H., </w:t>
            </w:r>
            <w:r w:rsidR="009F6ACB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Przysławski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</w:t>
            </w:r>
            <w:r w:rsidR="009F6ACB"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Bromatologia. Za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rys nauki o żywności i żywieniu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 PZWL Warszawa, 2006</w:t>
            </w:r>
          </w:p>
          <w:p w:rsidR="003206DB" w:rsidRPr="0023400C" w:rsidRDefault="003206DB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A6034D">
              <w:rPr>
                <w:rFonts w:ascii="Times New Roman" w:hAnsi="Times New Roman" w:cs="Times New Roman"/>
                <w:sz w:val="20"/>
                <w:szCs w:val="20"/>
              </w:rPr>
              <w:t xml:space="preserve">Gwóźdź E., Gębczyński P., </w:t>
            </w:r>
            <w:r w:rsidRPr="00A6034D">
              <w:rPr>
                <w:rFonts w:ascii="Times New Roman" w:hAnsi="Times New Roman" w:cs="Times New Roman"/>
                <w:i/>
                <w:sz w:val="20"/>
                <w:szCs w:val="20"/>
              </w:rPr>
              <w:t>Prozdrowotne właściwości owoców, warzyw i ich przetworów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6034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ępy</w:t>
            </w:r>
            <w:r w:rsidRPr="00A6034D">
              <w:rPr>
                <w:rFonts w:ascii="Times New Roman" w:hAnsi="Times New Roman" w:cs="Times New Roman"/>
                <w:sz w:val="20"/>
                <w:szCs w:val="20"/>
              </w:rPr>
              <w:t xml:space="preserve"> Fitoter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apii 2015, (16)4, </w:t>
            </w:r>
            <w:r w:rsidRPr="00A6034D">
              <w:rPr>
                <w:rFonts w:ascii="Times New Roman" w:hAnsi="Times New Roman" w:cs="Times New Roman"/>
                <w:sz w:val="20"/>
                <w:szCs w:val="20"/>
              </w:rPr>
              <w:t xml:space="preserve"> 268-271</w:t>
            </w:r>
          </w:p>
          <w:p w:rsidR="0023400C" w:rsidRDefault="009F6ACB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Małecka M. 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Żywność bezpieczna dla konsumenta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Zeszyty Naukowe,  Wyd. AE,  Poznań 2006</w:t>
            </w:r>
          </w:p>
          <w:p w:rsidR="009F6ACB" w:rsidRDefault="0023400C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Rutkowski  A. (red</w:t>
            </w:r>
            <w:r w:rsidR="000A59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), </w:t>
            </w:r>
            <w:r w:rsidR="009F6ACB"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Kompendium dodatków do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Hortimex,  Konin </w:t>
            </w:r>
            <w:r w:rsidR="009F6ACB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2003</w:t>
            </w:r>
          </w:p>
          <w:p w:rsidR="00663CA2" w:rsidRPr="00C30192" w:rsidRDefault="00663CA2" w:rsidP="0066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Śmiechowska</w:t>
            </w:r>
            <w:proofErr w:type="spellEnd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M., </w:t>
            </w:r>
            <w:proofErr w:type="spellStart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Newerli-Guz</w:t>
            </w:r>
            <w:proofErr w:type="spellEnd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J., Magdalena </w:t>
            </w:r>
            <w:proofErr w:type="spellStart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Skotnicka</w:t>
            </w:r>
            <w:proofErr w:type="spellEnd"/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M., </w:t>
            </w:r>
            <w:r w:rsidRPr="00C3019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Spices and Seasoning Mixes in European Union—Innovations and Ensuring Safety</w:t>
            </w:r>
            <w:r w:rsidRPr="00C30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Foods 2021, 10, 2289</w:t>
            </w:r>
          </w:p>
          <w:p w:rsidR="00663CA2" w:rsidRPr="00663CA2" w:rsidRDefault="00663CA2" w:rsidP="0066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Śmiechowska M., Newerli-Guz J.,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Innowacje a zapewnienie bezpieczeństwa przyprawom i mieszankom przyprawowym. W: Innowacje w kształtowaniu jakości produktów żywnościowych.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0192">
              <w:rPr>
                <w:rFonts w:ascii="Times New Roman" w:hAnsi="Times New Roman"/>
                <w:sz w:val="20"/>
                <w:szCs w:val="20"/>
              </w:rPr>
              <w:t xml:space="preserve">Wyd. </w:t>
            </w:r>
            <w:r>
              <w:rPr>
                <w:rFonts w:ascii="Times New Roman" w:hAnsi="Times New Roman"/>
                <w:sz w:val="20"/>
                <w:szCs w:val="20"/>
              </w:rPr>
              <w:t>Uniwersytetu Morskiego w Gdyni, 2020, 46-59</w:t>
            </w:r>
          </w:p>
          <w:p w:rsidR="00475AF0" w:rsidRPr="0023400C" w:rsidRDefault="00834EDF" w:rsidP="0023400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Świderski F.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Towaroznawstwo żywności przetworz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onej z elementami technologii,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B57C85" w:rsidRDefault="009F6ACB" w:rsidP="009F6AC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Flaczyk E.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Górecka D., Korczak J. 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Towaroznawstwo produktów spożywczych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Akademii Rolniczej, </w:t>
            </w:r>
            <w:r w:rsidR="00B57C8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Poznań 2006</w:t>
            </w:r>
          </w:p>
          <w:p w:rsidR="009F6ACB" w:rsidRDefault="009F6ACB" w:rsidP="003A32D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Gaw</w:t>
            </w:r>
            <w:r w:rsidR="00B57C8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ęcki J., Hryniewiecki L. 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B57C85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Kompendium wiedzy o żywności, żywieniu i zdrowiu</w:t>
            </w:r>
            <w:r w:rsidR="003A32D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</w:t>
            </w:r>
            <w:r w:rsidR="00B57C8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Naukowe PWN, Warszawa 2004</w:t>
            </w:r>
          </w:p>
          <w:p w:rsidR="003A32DD" w:rsidRPr="003A32DD" w:rsidRDefault="00C30192" w:rsidP="003A32DD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3A32D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Mitek M.</w:t>
              </w:r>
              <w:r w:rsidR="003A32DD" w:rsidRPr="003A32D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</w:t>
              </w:r>
            </w:hyperlink>
            <w:r w:rsidR="003A32DD" w:rsidRPr="003A32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 </w:t>
            </w:r>
            <w:hyperlink r:id="rId8" w:history="1">
              <w:r w:rsidR="003A32DD" w:rsidRPr="003A32D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Leszczyński </w:t>
              </w:r>
              <w:r w:rsidR="003A32D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K.</w:t>
              </w:r>
            </w:hyperlink>
            <w:r w:rsidR="003A32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A32DD" w:rsidRPr="003A32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(red.</w:t>
            </w:r>
            <w:r w:rsidR="003A32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), </w:t>
            </w:r>
            <w:r w:rsidR="003A32DD" w:rsidRPr="003A32D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Wybrane zagadnienia z technologii żywności pochodzenia roślinnego</w:t>
            </w:r>
            <w:r w:rsidR="003A32D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.</w:t>
            </w:r>
            <w:r w:rsidR="003A32D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  <w:t xml:space="preserve"> Wyd. SGGW, Warszawa 2014</w:t>
            </w:r>
          </w:p>
          <w:p w:rsidR="0023400C" w:rsidRDefault="0023400C" w:rsidP="003A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Instrukcje oraz specyfikacje technologiczne dla nowych wyrobów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Pr="0023400C" w:rsidRDefault="003E728F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Beata Borkowska</w:t>
            </w:r>
          </w:p>
        </w:tc>
        <w:tc>
          <w:tcPr>
            <w:tcW w:w="3999" w:type="dxa"/>
          </w:tcPr>
          <w:p w:rsidR="008D62DB" w:rsidRDefault="00F618C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9F6ACB" w:rsidRPr="0023400C" w:rsidRDefault="009F6ACB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AA34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prof. dr hab. inż.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="00A349D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iotr Bykowski</w:t>
            </w:r>
          </w:p>
          <w:p w:rsidR="009F6ACB" w:rsidRPr="0023400C" w:rsidRDefault="009F6ACB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prof. dr hab. Maria Ś</w:t>
            </w:r>
            <w:r w:rsidR="003E728F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miechowska</w:t>
            </w:r>
          </w:p>
          <w:p w:rsidR="008D62DB" w:rsidRPr="0023400C" w:rsidRDefault="009F6ACB" w:rsidP="0023400C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Ewa Stasiuk</w:t>
            </w:r>
          </w:p>
          <w:p w:rsid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Jadwiga Stankiewicz</w:t>
            </w:r>
          </w:p>
        </w:tc>
        <w:tc>
          <w:tcPr>
            <w:tcW w:w="3999" w:type="dxa"/>
          </w:tcPr>
          <w:p w:rsidR="008D62DB" w:rsidRDefault="00F618C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F618C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F618C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F618C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733ED"/>
    <w:rsid w:val="00082D00"/>
    <w:rsid w:val="000A4CC2"/>
    <w:rsid w:val="000A5907"/>
    <w:rsid w:val="000B20E5"/>
    <w:rsid w:val="000E4773"/>
    <w:rsid w:val="001251EC"/>
    <w:rsid w:val="001671B0"/>
    <w:rsid w:val="00177487"/>
    <w:rsid w:val="001A1E43"/>
    <w:rsid w:val="001E079B"/>
    <w:rsid w:val="001E5FE3"/>
    <w:rsid w:val="00231DE0"/>
    <w:rsid w:val="00233FC6"/>
    <w:rsid w:val="0023400C"/>
    <w:rsid w:val="00250A61"/>
    <w:rsid w:val="00264119"/>
    <w:rsid w:val="00267183"/>
    <w:rsid w:val="00281B49"/>
    <w:rsid w:val="00296265"/>
    <w:rsid w:val="002A61E7"/>
    <w:rsid w:val="002D26E6"/>
    <w:rsid w:val="002D2A9C"/>
    <w:rsid w:val="002E722C"/>
    <w:rsid w:val="002F33B0"/>
    <w:rsid w:val="00311C4F"/>
    <w:rsid w:val="003131CD"/>
    <w:rsid w:val="00315479"/>
    <w:rsid w:val="003206DB"/>
    <w:rsid w:val="00346937"/>
    <w:rsid w:val="00354A3D"/>
    <w:rsid w:val="003616FC"/>
    <w:rsid w:val="00366B4D"/>
    <w:rsid w:val="00367CCE"/>
    <w:rsid w:val="003A32DD"/>
    <w:rsid w:val="003A6F9E"/>
    <w:rsid w:val="003D74D6"/>
    <w:rsid w:val="003E1620"/>
    <w:rsid w:val="003E728F"/>
    <w:rsid w:val="003F45EE"/>
    <w:rsid w:val="00404FAF"/>
    <w:rsid w:val="00412278"/>
    <w:rsid w:val="004139C0"/>
    <w:rsid w:val="004618EE"/>
    <w:rsid w:val="0046763D"/>
    <w:rsid w:val="004701E7"/>
    <w:rsid w:val="00475AF0"/>
    <w:rsid w:val="00476965"/>
    <w:rsid w:val="00477A2B"/>
    <w:rsid w:val="00482229"/>
    <w:rsid w:val="00494002"/>
    <w:rsid w:val="004B1FB2"/>
    <w:rsid w:val="004F47B4"/>
    <w:rsid w:val="00510EFC"/>
    <w:rsid w:val="005255CE"/>
    <w:rsid w:val="0054011F"/>
    <w:rsid w:val="00550A4F"/>
    <w:rsid w:val="0058657A"/>
    <w:rsid w:val="005A766B"/>
    <w:rsid w:val="005E1FFB"/>
    <w:rsid w:val="00602719"/>
    <w:rsid w:val="00620D57"/>
    <w:rsid w:val="00624A5D"/>
    <w:rsid w:val="00643104"/>
    <w:rsid w:val="00651F07"/>
    <w:rsid w:val="006606D6"/>
    <w:rsid w:val="00663CA2"/>
    <w:rsid w:val="00670D90"/>
    <w:rsid w:val="00686652"/>
    <w:rsid w:val="006C49E5"/>
    <w:rsid w:val="006F6C43"/>
    <w:rsid w:val="006F6ED3"/>
    <w:rsid w:val="00757694"/>
    <w:rsid w:val="0079419B"/>
    <w:rsid w:val="007A0D66"/>
    <w:rsid w:val="007A5B94"/>
    <w:rsid w:val="007A74A3"/>
    <w:rsid w:val="008220A6"/>
    <w:rsid w:val="0082446F"/>
    <w:rsid w:val="00834EDF"/>
    <w:rsid w:val="00845A37"/>
    <w:rsid w:val="00864F7D"/>
    <w:rsid w:val="008676E0"/>
    <w:rsid w:val="008B2EC0"/>
    <w:rsid w:val="008D62DB"/>
    <w:rsid w:val="0091529D"/>
    <w:rsid w:val="00934797"/>
    <w:rsid w:val="009B164C"/>
    <w:rsid w:val="009F6ACB"/>
    <w:rsid w:val="009F7358"/>
    <w:rsid w:val="009F7FC9"/>
    <w:rsid w:val="00A349DB"/>
    <w:rsid w:val="00A727FE"/>
    <w:rsid w:val="00AA342B"/>
    <w:rsid w:val="00AB075F"/>
    <w:rsid w:val="00AC54E4"/>
    <w:rsid w:val="00AD1EA7"/>
    <w:rsid w:val="00B204A5"/>
    <w:rsid w:val="00B46FF9"/>
    <w:rsid w:val="00B55209"/>
    <w:rsid w:val="00B57C85"/>
    <w:rsid w:val="00B73E75"/>
    <w:rsid w:val="00B8606B"/>
    <w:rsid w:val="00B913D6"/>
    <w:rsid w:val="00B95CA8"/>
    <w:rsid w:val="00BE457F"/>
    <w:rsid w:val="00BE53F6"/>
    <w:rsid w:val="00C11EFA"/>
    <w:rsid w:val="00C30192"/>
    <w:rsid w:val="00C64620"/>
    <w:rsid w:val="00C9558B"/>
    <w:rsid w:val="00C97E91"/>
    <w:rsid w:val="00CA27ED"/>
    <w:rsid w:val="00CC4A9E"/>
    <w:rsid w:val="00CF0B22"/>
    <w:rsid w:val="00CF45EF"/>
    <w:rsid w:val="00D176CF"/>
    <w:rsid w:val="00D21955"/>
    <w:rsid w:val="00D871B3"/>
    <w:rsid w:val="00DC23D9"/>
    <w:rsid w:val="00E135CF"/>
    <w:rsid w:val="00E33B3B"/>
    <w:rsid w:val="00E41568"/>
    <w:rsid w:val="00E46B3C"/>
    <w:rsid w:val="00E61BE4"/>
    <w:rsid w:val="00E71601"/>
    <w:rsid w:val="00EA2721"/>
    <w:rsid w:val="00F0402C"/>
    <w:rsid w:val="00F114BB"/>
    <w:rsid w:val="00F379F2"/>
    <w:rsid w:val="00F434BC"/>
    <w:rsid w:val="00F52642"/>
    <w:rsid w:val="00F617CD"/>
    <w:rsid w:val="00F618C5"/>
    <w:rsid w:val="00F77452"/>
    <w:rsid w:val="00FA07ED"/>
    <w:rsid w:val="00FB1DCC"/>
    <w:rsid w:val="00FB7A74"/>
    <w:rsid w:val="00FC64DD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96B90F-895C-4843-BD82-01E0A8EE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A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3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A3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dawnictwosggw.pl/s/wyniki/k/autor/id/514/Leszczynski-Krzyszt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dawnictwosggw.pl/s/wyniki/k/autor/id/281/Mitek-Marta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5C309-CE27-4438-B688-0C237C1A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6</cp:revision>
  <dcterms:created xsi:type="dcterms:W3CDTF">2022-05-08T22:13:00Z</dcterms:created>
  <dcterms:modified xsi:type="dcterms:W3CDTF">2022-05-09T18:58:00Z</dcterms:modified>
</cp:coreProperties>
</file>