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020DD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20DDA" w:rsidRDefault="00DB4BE0" w:rsidP="00020DD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11652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.1pt;height:55.7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020DDA" w:rsidRDefault="00020DDA" w:rsidP="00020D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020DDA" w:rsidRDefault="00A6384B" w:rsidP="00020D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DDA" w:rsidRDefault="000E009C" w:rsidP="00020DD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567EF1" wp14:editId="7050DB95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690971" w:rsidRDefault="00F975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0971">
              <w:rPr>
                <w:rFonts w:ascii="Times New Roman" w:hAnsi="Times New Roman" w:cs="Times New Roman"/>
                <w:b/>
                <w:sz w:val="24"/>
                <w:szCs w:val="20"/>
              </w:rPr>
              <w:t>TOWAROZNAWSTWO SPOŻYWCZE PRODUKTÓW POCHODZENIA ROŚLINNEGO</w:t>
            </w:r>
          </w:p>
        </w:tc>
      </w:tr>
      <w:tr w:rsidR="00EA2721" w:rsidRPr="00DB4BE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690971" w:rsidRDefault="0069097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9097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COMMODITY FOOD PRODUCTS OF PLANT ORIGIN</w:t>
            </w:r>
          </w:p>
        </w:tc>
      </w:tr>
    </w:tbl>
    <w:p w:rsidR="00177487" w:rsidRPr="00690971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384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69097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F9753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67672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9753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9753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F9753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FD54FC" w:rsidRPr="001671B0" w:rsidTr="00D14F73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F9753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egzamin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9753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C403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7672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7672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67672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14F7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D14F73">
        <w:tc>
          <w:tcPr>
            <w:tcW w:w="10060" w:type="dxa"/>
          </w:tcPr>
          <w:p w:rsidR="004F47B4" w:rsidRPr="001C2A8E" w:rsidRDefault="00690971" w:rsidP="00F5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powinien</w:t>
            </w:r>
            <w:r w:rsidR="00F9753C"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 posiadać podstawowe wiadomości z zakresu biochemii, mikrobiologii, bezpieczeństwa żywności oraz na temat </w:t>
            </w:r>
            <w:r w:rsidR="00F515A6">
              <w:rPr>
                <w:rFonts w:ascii="Times New Roman" w:hAnsi="Times New Roman" w:cs="Times New Roman"/>
                <w:sz w:val="20"/>
                <w:szCs w:val="20"/>
              </w:rPr>
              <w:t xml:space="preserve">oceny </w:t>
            </w:r>
            <w:r w:rsidR="00F9753C" w:rsidRPr="001C2A8E">
              <w:rPr>
                <w:rFonts w:ascii="Times New Roman" w:hAnsi="Times New Roman" w:cs="Times New Roman"/>
                <w:sz w:val="20"/>
                <w:szCs w:val="20"/>
              </w:rPr>
              <w:t>jakości żywności pochodzenia zwierzęcego.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D14F7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14F73">
        <w:tc>
          <w:tcPr>
            <w:tcW w:w="10060" w:type="dxa"/>
          </w:tcPr>
          <w:p w:rsidR="009D1D25" w:rsidRDefault="00F9753C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studenta z podstawowymi zagadnieniami dotyczącymi kształtowania jakości żywności, czynnikami ją determinującymi oraz metodami oceny jakości żywności. </w:t>
            </w:r>
          </w:p>
          <w:p w:rsidR="004F47B4" w:rsidRPr="001C2A8E" w:rsidRDefault="00F9753C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Nabycie przez studenta praktycznych umiejętności z towaroznawczej oceny artykułów spożywczych na przykładzie wybranych pr</w:t>
            </w:r>
            <w:r w:rsidR="00F515A6">
              <w:rPr>
                <w:rFonts w:ascii="Times New Roman" w:hAnsi="Times New Roman" w:cs="Times New Roman"/>
                <w:sz w:val="20"/>
                <w:szCs w:val="20"/>
              </w:rPr>
              <w:t xml:space="preserve">oduktów spożywczych pochodzenia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roślinnego.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2D5615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3E765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2D561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DB4BE0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BE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DB4BE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B4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E7654" w:rsidRPr="00DB4BE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definiuje i rozumie podstawowe pojęcia związane z towaroznawstwem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wymienia ogólne informacje na temat poszczególnych grup surowców i produktów spożywczych pochodzenia roślinnego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objaśnia etapy produkcji produktów spożywczych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wymienia podstawowe składniki wartości odżywczej produktów spożywczych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przedstawia podstawowe wyróżniki jakościowe uwzględniane przy ocenie towaroznawczej produktów spożywczych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ocenia jakość surowców i gotowego produktu, przeprowadzając analizy laboratoryjne z wykorzystaniem metod sensorycznych, fizykochemicznych i instrumentalnych zgodnie z obowiązującymi normami lub instrukcjami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NK_W06, NK_U04, NK_K04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sporządza sprawozdanie z wykonanych ćwiczeń laboratoryjnych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NK_U02, NK_U03, NK_K01</w:t>
            </w:r>
          </w:p>
        </w:tc>
      </w:tr>
      <w:tr w:rsidR="006866D0" w:rsidRPr="00B73E75" w:rsidTr="00AC11C8">
        <w:tc>
          <w:tcPr>
            <w:tcW w:w="959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EKP_08</w:t>
            </w:r>
          </w:p>
        </w:tc>
        <w:tc>
          <w:tcPr>
            <w:tcW w:w="7087" w:type="dxa"/>
            <w:vAlign w:val="center"/>
          </w:tcPr>
          <w:p w:rsidR="006866D0" w:rsidRPr="001C2A8E" w:rsidRDefault="006866D0" w:rsidP="0068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akceptuje losowo dobrany skład grupy i wykonuje zadania przydzielone przez członków grupy oraz przestrzega zasad bezpieczeństwa obowiązujących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w pomieszczeniach laboratoryjnych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6866D0" w:rsidRPr="001C2A8E" w:rsidRDefault="006866D0" w:rsidP="00686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NK_U10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boża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Ogólna charakter</w:t>
            </w:r>
            <w:r w:rsidR="00FD78EB">
              <w:rPr>
                <w:rFonts w:ascii="Times New Roman" w:hAnsi="Times New Roman" w:cs="Times New Roman"/>
                <w:sz w:val="20"/>
                <w:szCs w:val="20"/>
              </w:rPr>
              <w:t xml:space="preserve">ystyka roślin zbożowych. Budowa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ziarniaka, skład che</w:t>
            </w:r>
            <w:r w:rsidR="00FD78EB">
              <w:rPr>
                <w:rFonts w:ascii="Times New Roman" w:hAnsi="Times New Roman" w:cs="Times New Roman"/>
                <w:sz w:val="20"/>
                <w:szCs w:val="20"/>
              </w:rPr>
              <w:t xml:space="preserve">miczny suchej masy ziarna zbóż.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Charakterystyka poszczególnych gatunków zbóż i ich zastosowanie w przemyśle rolno-spożywczym i paszowym. Kryteria oceny jakości zbóż. Podstawowe wymagania, tolerancja i cechy dyskwalifikujące dla ziaren zbóż. Zanieczyszczenia nieużyteczne i użyteczne masy zbożowej.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C11C8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 w:rsidR="00AC11C8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AC11C8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C11C8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 w:rsidR="00AC11C8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rzetwory zbożowe (mąki, kasze).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Etapy przemiału ziarna. Przemiał razowy i wyciągowy. Pojęcia: wyciąg mąki i typ mąki. Podział mąk, skład chemiczny oraz wartość odżywcza. Czynniki decydujące </w:t>
            </w:r>
            <w:r w:rsidR="005259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o przydatności technologicznej mąk. Ocena jakościowa mąk. Otrzymywanie i podział kasz. Skład chemiczny i wartość odżywcza kasz. Badania jakości kasz.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ieczywo i makaron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Charakterystyka składników recepturowych pieczywa. Podział pieczywa w zależności od zastosowanych surowców i dodatków, trwałości i formy. Technologia wypieku pieczywa. Wartość odżywcza pieczywa. Wymagania organoleptyczne i fizykochemiczne dla pieczywa. Wady pieczywa. Surowce do produkcji makaronów, technologia produkcji i podział makaronów. Wartość odżywcza makaronów. Badania i wymagania jakościowe dla makaronów.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oncentraty spożywcze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Definicje i podział koncentratów spożywczych. Charakterystyka poszczególnych grup koncentratów spożywczych. Trwałość i wartość odżywcza koncentratów. Podstawowe wyróżniki jakościowe uwzględniane w ocenie towaroznawczej koncentratów spożywczych.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asiona roślin strączkowych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Pochodzenie i budowa morfologiczna nasion roślin strączkowych. Gatunki i rodzaje nasion. Obróbka technologiczna roślin strączkowych. Skład chemiczny i wartość odżywcza. Substancje antyodżywcze. Wymagania jakościowe dla nasion roślin strączkowych.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EKP1, EKP2, EKP4, EKP5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woce świeże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Czynniki wpływające na jakość owoców świeżych. Podział owoców świeżych. Skład chemiczny i wartość żywieniowa owoców świeżych. Ocena użytkowa odmian owoców świeżych. Stany dojrzałości owoców świeżych. Procesy życiowe zachodzące w owocach świeżych po ich zebraniu i wpływ na cechy jakości. Ocena towaroznawcza i sposoby jej przeprowadzania. Wymagania jakościowe dla owoców świeżych.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arzywa świeże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Czynniki wpływające na jakość warzyw świeżych. Podział warzyw świeżych. Skład chemiczny i wartość żywieniowa warzyw świeżych. Ocena użytkowa odmian warzyw świeżych. Charakterystyka wybranych grup i gatunków warzyw krajowych. Ocena towaroznawcza warzyw świeżych i sposoby jej przeprowadzania. Wymagania jakościowe dla warzyw świeżych.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rzetwory owocowe i warzywne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. Czynniki decydujące o przetwarzaniu owoców i warzyw. Podział przetworów owocowych i warzywnych. Wymagania surowców owocowych i warzywnych przeznaczonych na różne kierunki użytkowania technologicznego. Wpływ procesów na cechy jakościowe otrzymanych produktów. Omówienie przetworów owocowych i warzywnych (jakość surowca, metoda utrwalania i przetwarzania, cechy charakterystyczne produktu). Podstawowe wyróżniki jakościowe uwzględniane w ocenie towaroznawczej przetworów owocowych i warzywnych.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EB6" w:rsidRPr="00B73E75" w:rsidTr="00360769">
        <w:tc>
          <w:tcPr>
            <w:tcW w:w="5778" w:type="dxa"/>
            <w:vAlign w:val="center"/>
          </w:tcPr>
          <w:p w:rsidR="00DC3EB6" w:rsidRPr="001C2A8E" w:rsidRDefault="00DC3EB6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D78EB" w:rsidRPr="001C2A8E">
              <w:rPr>
                <w:rFonts w:ascii="Times New Roman" w:hAnsi="Times New Roman" w:cs="Times New Roman"/>
                <w:sz w:val="20"/>
                <w:szCs w:val="20"/>
              </w:rPr>
              <w:t>iemniaki i przetwory ziemniaczane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. Pochodzenie, budowa morfologiczna i skład chemiczny bulw ziemniaka. Czynniki wpływające na jakość ziemniaków jadalnych. Cechy organoleptyczne ziemniaków gotowanych. Własności technologiczne ziemniaków. Typy użytkowo – konsumpcyjne ziemniaków jadalnych. Kryteria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oceny ziemniaków. Zagadnienia przetwórstwa ziemniaka na cele spożywcze. Podział uszlachetnionych produktów ziemniaka. Ocena jakościowa produktów ziemniaczanych</w:t>
            </w:r>
          </w:p>
        </w:tc>
        <w:tc>
          <w:tcPr>
            <w:tcW w:w="567" w:type="dxa"/>
            <w:vAlign w:val="center"/>
          </w:tcPr>
          <w:p w:rsidR="00DC3EB6" w:rsidRPr="001C2A8E" w:rsidRDefault="0067672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EB6" w:rsidRPr="001C2A8E" w:rsidRDefault="00DC3EB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3EB6" w:rsidRPr="001C2A8E" w:rsidRDefault="00AC11C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9C4CBF" w:rsidRPr="009C4CBF" w:rsidRDefault="009A37E5" w:rsidP="008B3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Zbo</w:t>
            </w:r>
            <w:r w:rsidR="009C4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ża. </w:t>
            </w:r>
            <w:r w:rsidR="009C4CBF"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Sprawdzenie zapachu ziarna na sucho i na mokro, określenie barwy, wyglądu, oznaczenie masy</w:t>
            </w:r>
            <w:r w:rsidR="009C4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4CBF"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1000 ziaren, gęstości ziaren w stanie zsypnym, poraż</w:t>
            </w:r>
            <w:r w:rsid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enia ziarna przez szkodniki</w:t>
            </w:r>
            <w:r w:rsidR="009C4CBF"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oznaczanie wilgotności. Porównanie uzyskanych wyników z wymaganiami zawartymi w</w:t>
            </w:r>
            <w:r w:rsidR="009C4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4CBF"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obowiązujących normach.</w:t>
            </w:r>
          </w:p>
          <w:p w:rsidR="009A37E5" w:rsidRPr="009C4CBF" w:rsidRDefault="009C4CBF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Przetwory zboż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owe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Sprawdzenie stanu opa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kowania i oznakowania oraz masy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netto. Określenie wyglądu, granulacji, barwy, smaku, zapachu. Badanie zagrzania, obecnoś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piasku i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świeżości mąki. Oznaczanie ilości i jakości glutenu w mące. Oznaczenie wilgotności i kwasowoś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ci. Badanie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obecności zanieczyszczeń ferromagnetycznych, obecności szkodników zbożowo – mą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cznych lub ich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pozostałości. Oznaczanie zanieczyszczeń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mineralnych i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organicznych. Próba pę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cznienia kaszy. Ocena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końcowa jakości badanych przetworów zbożowych z wymaganiami polskich norm.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FD78E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EKP_07, EKP_08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9C4CBF" w:rsidRDefault="009C4CBF" w:rsidP="008B3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Pieczywo.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Sprawdzenie masy właściwej pieczywa. Ocena wyglądu zewnętrznego,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kształtu, skórki, miękiszu, zapachu i smaku. Oznaczanie objętości pieczywa, gęstości miękiszu, porowatości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miękiszu, wilgotności, kwasowości, zawartości soli. Końcowa ocena punktowa jakości pieczywa.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4CBF" w:rsidRPr="009C4CBF" w:rsidRDefault="009C4CBF" w:rsidP="008B3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Makarony.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Sprawdzenie stanu opakowania i oznakowania, masy netto makaronu, wymiarów i formy. Badanie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organoleptyczne makaronu nie ugotowanego oraz ugotowanego. Oznaczanie wilgotności. Sprawdzanie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obecności szkodników zbożowo-mącznych i innych lub ich pozostałości. Porównanie oceny</w:t>
            </w:r>
          </w:p>
          <w:p w:rsidR="009A37E5" w:rsidRPr="009C4CBF" w:rsidRDefault="009C4CBF" w:rsidP="008B3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towaroznawczej badanych produktów z wymag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aniami polskiej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normy.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FD78E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EKP_07, EKP_08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9C4CBF" w:rsidRPr="009C4CBF" w:rsidRDefault="009C4CBF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Koncentraty spożywcze.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Sprawdzenie stanu opakowania i oznakowania, obecnoś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zanieczyszczeń mechanicznych i szkodników żywnościowych oraz ich pozostałości. Badanie</w:t>
            </w:r>
          </w:p>
          <w:p w:rsidR="009A37E5" w:rsidRPr="00360769" w:rsidRDefault="009C4CBF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organoleptyczne koncentratów spoż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ywczych przed i po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przyrządzeniu. Oznaczanie zawartości wody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tłuszczu, chlorku sodowego, kwasowości ogólnej, witaminy C (w prod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uktach witaminizowanych). Ocena </w:t>
            </w:r>
            <w:r w:rsidRPr="009C4CB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badanych produktów przez określenie zgodności ich cech jakościowych z wymaganiami normy.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FD78E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EKP_07, EKP_08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360769" w:rsidRPr="00360769" w:rsidRDefault="009A37E5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Owoce świeże</w:t>
            </w:r>
            <w:r w:rsidR="00360769"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owoców świeżych na podstawie opisu stanu</w:t>
            </w:r>
            <w:r w:rsid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ich cech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jakościowych: cechy dyskwalifikujące, dopusz</w:t>
            </w:r>
            <w:r w:rsid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czalne wady i tolerancje, cechy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sensoryczne (jednolitość</w:t>
            </w:r>
            <w:r w:rsid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odmianowa, wielkość, stan dojrzałości - zapach, smak, konsystencja, zabarwienie). Na podstawie wyników</w:t>
            </w:r>
          </w:p>
          <w:p w:rsid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określenie klasy jakości owoców świeżych przy zastosowaniu wymagań obowiązujących norm jakości.</w:t>
            </w: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37E5" w:rsidRP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A37E5"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rzetwory owocowe</w:t>
            </w: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stanu opakowania i oznakowania oraz masy netto produktu. Okreś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lenie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stanu cech sensorycznych, jednolitości owoców w produkcie, ich dojrzałości oraz zdrowotnoś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ci. Oznaczenie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zawartości wody, ekstraktu ogólnego, kwasowości ogólnej. Uzyskane wyniki służą do okreś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lenia stopnia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zgodności badanych cech z wymaganiami zawartymi w obowiązujących normach jakoś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ciowych dla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badanych produktów przetworzonych.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490C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FD78E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6, EKP</w:t>
            </w:r>
            <w:r w:rsidR="00FD78EB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FD78EB"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360769" w:rsidRPr="00360769" w:rsidRDefault="009A37E5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Warzywa świeże</w:t>
            </w:r>
            <w:r w:rsidR="00360769"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cech dyskwalifikujących partię warzyw, dopuszczalnych wad, pozostałoś</w:t>
            </w:r>
            <w:r w:rsid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środków ochrony roślin, wyglądu, jednolitości odmianowej, barwy, wielkości, stanu dojrzałości, ilości</w:t>
            </w:r>
          </w:p>
          <w:p w:rsidR="00360769" w:rsidRP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zanieczyszczeń mineralnych i organicznych, ilości uszkodzeń warzyw spowodowanych przez mró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z.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Oznaczenie zawartości ekstraktu ogólnego i wody. Na podstawie uzyskanych wyników okreś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lenie klasy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badanych warzyw świeżych po uwzględnieniu tolerancji dotyczących poszczególnych cech w</w:t>
            </w:r>
          </w:p>
          <w:p w:rsid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oparciu o obowiązujące normy jakości.</w:t>
            </w: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37E5" w:rsidRP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A37E5"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rzetwory warzywne</w:t>
            </w: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stanu opakowania i oznak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owania, sprawdzenie masy netto,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oznaczenie stosunku masy warzyw ociekniętych do deklarowanej ma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sy netto (przetwory w zalewie).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Sprawdzenie wyglądu warzyw, zalewy oraz przypraw, oznaczenie zia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ren z plamami oraz uszkodzonych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przez szkodniki. Sprawdzenie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>konsystencji i wielkości warzyw w prze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tworach o niskim stopniu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przetworzenia, określenie smaku i zapachu, konsystencji produktu, oznaczenie kwasowoś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produktu,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chlorku sodu, kwasowości czynnej (pH) i ogólnej produktu, sprawdzenie zdrowotności i aktywnoś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enzymatycznej warzyw mrożonych. Na podstawie uzyskanych wyników określenie klasy jakoś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badanych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przetworów warzywnych przy wykorzystaniu wymagań obowiązujących norm jakościowych.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FD78E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EKP_07, EKP_08</w:t>
            </w:r>
          </w:p>
        </w:tc>
      </w:tr>
      <w:tr w:rsidR="009A37E5" w:rsidRPr="00B73E75" w:rsidTr="00360769">
        <w:tc>
          <w:tcPr>
            <w:tcW w:w="5778" w:type="dxa"/>
            <w:vAlign w:val="center"/>
          </w:tcPr>
          <w:p w:rsidR="00360769" w:rsidRPr="00360769" w:rsidRDefault="009A37E5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 i przetwory ziemniaczane</w:t>
            </w:r>
            <w:r w:rsidR="00360769" w:rsidRPr="00360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Badanie występowania cech dyskwalifikują</w:t>
            </w:r>
            <w:r w:rsid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cych: </w:t>
            </w:r>
            <w:r w:rsidR="00360769"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zanieczyszczenie środkami ochrony roślin, zaparzenie i zapleśnienie, porośnięcie kiełkami, obce zapachy,</w:t>
            </w:r>
          </w:p>
          <w:p w:rsidR="00360769" w:rsidRP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badanie zawartości zanieczyszczeń mineralnych i organicznych. Badanie cech i wad zewnę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trznych oraz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wewnętrznych bulw ziemniaków, bulw obcych odmian, ogólnej sumy wad. Oznaczenie skrobiowoś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ziemniaków. Ocena typu kulinarnego badanych ziemniaków. Oznacz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enie postaci badanego produktu,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barwy, połysku, zapachu, zawartości zanieczyszczeń mineralnych, częś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przypalonych w produktach.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Oznaczenie zawartości wody w produkcie oraz kwasowości czynnej (pH) i tłuszczu w produktach</w:t>
            </w:r>
          </w:p>
          <w:p w:rsidR="009A37E5" w:rsidRPr="00360769" w:rsidRDefault="00360769" w:rsidP="008B3D2F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smażonych. Na podstawie uzyskanych wyników określenie zgodności jakoś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badanych cech z </w:t>
            </w:r>
            <w:r w:rsidRPr="003607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wymaganiami zawartymi w obowiązujących normach jakości.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37E5" w:rsidRPr="001C2A8E" w:rsidRDefault="009A37E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A37E5" w:rsidRPr="001C2A8E" w:rsidRDefault="00FD78E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EKP_07, EKP_08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67672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67672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9D1D2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E7654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D1D25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9D1D25">
        <w:tc>
          <w:tcPr>
            <w:tcW w:w="893" w:type="dxa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9D1D25">
        <w:tc>
          <w:tcPr>
            <w:tcW w:w="893" w:type="dxa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36076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A8E" w:rsidRPr="00B73E75" w:rsidTr="009D1D25">
        <w:tc>
          <w:tcPr>
            <w:tcW w:w="893" w:type="dxa"/>
          </w:tcPr>
          <w:p w:rsidR="001C2A8E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90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C2A8E" w:rsidRPr="00B73E75" w:rsidRDefault="001C2A8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360769">
        <w:tc>
          <w:tcPr>
            <w:tcW w:w="10061" w:type="dxa"/>
            <w:vAlign w:val="center"/>
          </w:tcPr>
          <w:p w:rsidR="00E41568" w:rsidRPr="00360769" w:rsidRDefault="001C2A8E" w:rsidP="008B3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69">
              <w:rPr>
                <w:rFonts w:ascii="Times New Roman" w:hAnsi="Times New Roman" w:cs="Times New Roman"/>
                <w:sz w:val="20"/>
                <w:szCs w:val="20"/>
              </w:rPr>
              <w:t>Zaliczenie wykładów w formie kolokwiów cząstkowych na co najmniej 60% punktów. Zaliczenie ćwiczeń na podstawie 100% obecności i aktywnego w nich uczestnictwa, oddania sprawozdania po wykonaniu ćwiczeń laboratoryjnych oraz zaliczenia kolokwiów cząstkowych na co najmniej 60% punktów</w:t>
            </w:r>
            <w:r w:rsidR="00360769" w:rsidRPr="00360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67672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67672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247FB6" w:rsidP="0037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415C9" w:rsidP="0037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F415C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556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5556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40AA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556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78297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70E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247FB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D70E9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4C2D6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4C2D6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78297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B36B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5556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14F7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DB4BE0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E41568" w:rsidTr="00DB4BE0">
        <w:tc>
          <w:tcPr>
            <w:tcW w:w="9911" w:type="dxa"/>
          </w:tcPr>
          <w:p w:rsidR="00C013C6" w:rsidRDefault="00C013C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Borkowska B., Łagowska U., </w:t>
            </w:r>
            <w:r w:rsidRPr="00D5338C">
              <w:rPr>
                <w:rFonts w:ascii="Times New Roman" w:hAnsi="Times New Roman" w:cs="Times New Roman"/>
                <w:i/>
                <w:sz w:val="20"/>
                <w:szCs w:val="20"/>
              </w:rPr>
              <w:t>Ocena porównawcza jakości pieczywa tradycyjnego i ekologicznego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ZN AM w Gdyni, 2014, nr 86, s. 210-217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>Przysławski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Bromatologia. Zarys nauki o żywności i ży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wieniu,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PZWL, Warszawa 2006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Dłużewska E. (red.), Leszczyński K. (red.)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Ogólna technologia żywności.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2013</w:t>
            </w:r>
          </w:p>
          <w:p w:rsidR="00C013C6" w:rsidRPr="00DB4BE0" w:rsidRDefault="00C013C6" w:rsidP="0055568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4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Huang S., </w:t>
            </w:r>
            <w:proofErr w:type="spellStart"/>
            <w:r w:rsidRPr="00DB4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Miskelly</w:t>
            </w:r>
            <w:proofErr w:type="spellEnd"/>
            <w:r w:rsidRPr="00DB4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D., </w:t>
            </w:r>
            <w:r w:rsidRPr="00DB4BE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Steamed bread – A review of manufacturing, flour quality requirements and quality evaluation, </w:t>
            </w:r>
            <w:r w:rsidRPr="00DB4BE0">
              <w:rPr>
                <w:rStyle w:val="Pogrubienie"/>
                <w:rFonts w:ascii="open_sansbold" w:hAnsi="open_sansbold"/>
                <w:b w:val="0"/>
                <w:bCs w:val="0"/>
                <w:color w:val="444444"/>
                <w:sz w:val="21"/>
                <w:szCs w:val="21"/>
                <w:bdr w:val="none" w:sz="0" w:space="0" w:color="auto" w:frame="1"/>
                <w:lang w:val="en-GB"/>
              </w:rPr>
              <w:t> </w:t>
            </w:r>
            <w:hyperlink r:id="rId7" w:history="1">
              <w:r w:rsidRPr="00DB4BE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GB"/>
                </w:rPr>
                <w:t>Cereal Chemistry</w:t>
              </w:r>
            </w:hyperlink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 2019</w:t>
            </w:r>
            <w:r w:rsidR="006866D0"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,</w:t>
            </w:r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Vol.96</w:t>
            </w:r>
            <w:proofErr w:type="spellEnd"/>
            <w:r w:rsidR="006866D0"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,</w:t>
            </w:r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No.1</w:t>
            </w:r>
            <w:proofErr w:type="spellEnd"/>
            <w:r w:rsidR="006866D0"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,</w:t>
            </w:r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pp.8</w:t>
            </w:r>
            <w:proofErr w:type="spellEnd"/>
            <w:r w:rsidRPr="00DB4B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GB"/>
              </w:rPr>
              <w:t>-22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Kolenda H.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Towaroznawstwo artykułów spożywczych.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Cz. 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AM, Gdynia 2005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Krełowska - Kułas M.,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Badania jakości produktów spożywczych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PWE, Warszawa 1993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Lempka A.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Towaroznawstwo.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Produkty spoż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ywcze,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Wyd. PWE, Warszawa 1985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Pijanowski E.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Ogólna technologia 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ywności,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WNT, Warszawa 2009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Świderski F.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Towaroznawstwo żywności przetworz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onej z elementami technologii,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  <w:p w:rsidR="00475AF0" w:rsidRPr="00312B6A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Świetlikowska K. (red.), 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Surowce spożywcze pochodzenia roślinnego,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</w:tc>
      </w:tr>
      <w:tr w:rsidR="00404FAF" w:rsidTr="00DB4BE0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DB4BE0">
        <w:tc>
          <w:tcPr>
            <w:tcW w:w="9911" w:type="dxa"/>
          </w:tcPr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Sikorski Z.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Chemia żywności: skład, przemiany i właściwości żywności,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Wyd. WNT, Warszawa 2000</w:t>
            </w:r>
          </w:p>
          <w:p w:rsidR="00555686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Świderski F.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Żywność wygodna i żywność funkcj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onalna,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Wyd. PWN, WNT Warszawa 2018</w:t>
            </w:r>
          </w:p>
          <w:p w:rsidR="00E41568" w:rsidRPr="00312B6A" w:rsidRDefault="00555686" w:rsidP="0055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Czasopisma branżowe: Przemysł Spożywczy, Przemysł Fermentacyjny i Owocowo - Warzywny, Żywność. Nauka. Technologia. Jakość, Przegląd Piekarski i Cukierniczy, Żywność, Żywienie a Zdrowie, Bromatologia i Chemia Toksykologiczna, Przemysł Zbożowo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Młynarski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Towaroznawcze Problemy Jakości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Pr="00312B6A" w:rsidRDefault="00312B6A" w:rsidP="005B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>dr inż. Beata Borkowska</w:t>
            </w:r>
          </w:p>
        </w:tc>
        <w:tc>
          <w:tcPr>
            <w:tcW w:w="3999" w:type="dxa"/>
          </w:tcPr>
          <w:p w:rsidR="008D62DB" w:rsidRDefault="008B3D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r w:rsidR="005B40E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67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B40EB" w:rsidRDefault="005B40EB" w:rsidP="0045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A94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0DDA"/>
    <w:rsid w:val="00082D00"/>
    <w:rsid w:val="000A4CC2"/>
    <w:rsid w:val="000B20E5"/>
    <w:rsid w:val="000E009C"/>
    <w:rsid w:val="000F3DA2"/>
    <w:rsid w:val="001251EC"/>
    <w:rsid w:val="001671B0"/>
    <w:rsid w:val="00177487"/>
    <w:rsid w:val="001A1E43"/>
    <w:rsid w:val="001C2A8E"/>
    <w:rsid w:val="001E5FE3"/>
    <w:rsid w:val="00231DE0"/>
    <w:rsid w:val="00247FB6"/>
    <w:rsid w:val="00250A61"/>
    <w:rsid w:val="00264119"/>
    <w:rsid w:val="00267183"/>
    <w:rsid w:val="00296265"/>
    <w:rsid w:val="002D26E6"/>
    <w:rsid w:val="002D2A9C"/>
    <w:rsid w:val="002D5615"/>
    <w:rsid w:val="002E722C"/>
    <w:rsid w:val="002F33B0"/>
    <w:rsid w:val="00311C4F"/>
    <w:rsid w:val="00312B6A"/>
    <w:rsid w:val="00315479"/>
    <w:rsid w:val="00360769"/>
    <w:rsid w:val="003616FC"/>
    <w:rsid w:val="00367CCE"/>
    <w:rsid w:val="00374ACB"/>
    <w:rsid w:val="003A6F9E"/>
    <w:rsid w:val="003B56BB"/>
    <w:rsid w:val="003E7654"/>
    <w:rsid w:val="00404FAF"/>
    <w:rsid w:val="00412278"/>
    <w:rsid w:val="00451F28"/>
    <w:rsid w:val="0046763D"/>
    <w:rsid w:val="00475AF0"/>
    <w:rsid w:val="00476965"/>
    <w:rsid w:val="00477A2B"/>
    <w:rsid w:val="00482229"/>
    <w:rsid w:val="00490CB1"/>
    <w:rsid w:val="00494002"/>
    <w:rsid w:val="004B1FB2"/>
    <w:rsid w:val="004C2D6B"/>
    <w:rsid w:val="004D36D2"/>
    <w:rsid w:val="004F47B4"/>
    <w:rsid w:val="00525956"/>
    <w:rsid w:val="00550A4F"/>
    <w:rsid w:val="00555686"/>
    <w:rsid w:val="0058657A"/>
    <w:rsid w:val="005A766B"/>
    <w:rsid w:val="005B40EB"/>
    <w:rsid w:val="00602719"/>
    <w:rsid w:val="00620D57"/>
    <w:rsid w:val="00624A5D"/>
    <w:rsid w:val="00643104"/>
    <w:rsid w:val="00651F07"/>
    <w:rsid w:val="00670D90"/>
    <w:rsid w:val="0067672E"/>
    <w:rsid w:val="00686652"/>
    <w:rsid w:val="006866D0"/>
    <w:rsid w:val="00690971"/>
    <w:rsid w:val="006B6D96"/>
    <w:rsid w:val="006C49E5"/>
    <w:rsid w:val="006F6C43"/>
    <w:rsid w:val="0078297E"/>
    <w:rsid w:val="0079419B"/>
    <w:rsid w:val="007A0D66"/>
    <w:rsid w:val="007A5B94"/>
    <w:rsid w:val="007A74A3"/>
    <w:rsid w:val="00843A50"/>
    <w:rsid w:val="008B3D2F"/>
    <w:rsid w:val="008D62DB"/>
    <w:rsid w:val="00934797"/>
    <w:rsid w:val="009A37E5"/>
    <w:rsid w:val="009C4CBF"/>
    <w:rsid w:val="009C5895"/>
    <w:rsid w:val="009D1D25"/>
    <w:rsid w:val="009D5499"/>
    <w:rsid w:val="009F7358"/>
    <w:rsid w:val="00A04FBB"/>
    <w:rsid w:val="00A6384B"/>
    <w:rsid w:val="00A727FE"/>
    <w:rsid w:val="00A94318"/>
    <w:rsid w:val="00AB075F"/>
    <w:rsid w:val="00AC11C8"/>
    <w:rsid w:val="00AC54E4"/>
    <w:rsid w:val="00B204A5"/>
    <w:rsid w:val="00B55209"/>
    <w:rsid w:val="00B73E75"/>
    <w:rsid w:val="00B8606B"/>
    <w:rsid w:val="00B913D6"/>
    <w:rsid w:val="00B95CA8"/>
    <w:rsid w:val="00BE53F6"/>
    <w:rsid w:val="00C013C6"/>
    <w:rsid w:val="00C11EFA"/>
    <w:rsid w:val="00C403E1"/>
    <w:rsid w:val="00C9005C"/>
    <w:rsid w:val="00C90318"/>
    <w:rsid w:val="00C97E91"/>
    <w:rsid w:val="00CA27ED"/>
    <w:rsid w:val="00CB36B1"/>
    <w:rsid w:val="00CC4A9E"/>
    <w:rsid w:val="00CF0B22"/>
    <w:rsid w:val="00CF45EF"/>
    <w:rsid w:val="00D14F73"/>
    <w:rsid w:val="00D176CF"/>
    <w:rsid w:val="00D21955"/>
    <w:rsid w:val="00D40AA3"/>
    <w:rsid w:val="00D70E92"/>
    <w:rsid w:val="00D871B3"/>
    <w:rsid w:val="00DB4BE0"/>
    <w:rsid w:val="00DC23D9"/>
    <w:rsid w:val="00DC3EB6"/>
    <w:rsid w:val="00E135CF"/>
    <w:rsid w:val="00E41568"/>
    <w:rsid w:val="00E61BE4"/>
    <w:rsid w:val="00E71601"/>
    <w:rsid w:val="00EA2721"/>
    <w:rsid w:val="00F0402C"/>
    <w:rsid w:val="00F114BB"/>
    <w:rsid w:val="00F27DDF"/>
    <w:rsid w:val="00F379F2"/>
    <w:rsid w:val="00F415C9"/>
    <w:rsid w:val="00F43E56"/>
    <w:rsid w:val="00F515A6"/>
    <w:rsid w:val="00F62AE2"/>
    <w:rsid w:val="00F77452"/>
    <w:rsid w:val="00F9753C"/>
    <w:rsid w:val="00FA07ED"/>
    <w:rsid w:val="00FB1DCC"/>
    <w:rsid w:val="00FD3885"/>
    <w:rsid w:val="00FD54FC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775DC1-E953-4848-9095-0FBA0D6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13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1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bdirect.org/globalhealth/search/?q=do%3a%22Cereal+Chemistry%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F5BE-228D-4E7C-B8F6-C6308D2C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Agawa</cp:lastModifiedBy>
  <cp:revision>4</cp:revision>
  <dcterms:created xsi:type="dcterms:W3CDTF">2022-05-08T22:06:00Z</dcterms:created>
  <dcterms:modified xsi:type="dcterms:W3CDTF">2022-05-09T18:54:00Z</dcterms:modified>
</cp:coreProperties>
</file>