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63C15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63C15" w:rsidRDefault="00296F37" w:rsidP="00A63C1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05C7DBC7">
                  <wp:extent cx="581025" cy="704850"/>
                  <wp:effectExtent l="0" t="0" r="9525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63C15" w:rsidRDefault="00A63C15" w:rsidP="00A63C15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A63C15" w:rsidRDefault="005D7FAF" w:rsidP="00A63C15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63C15" w:rsidRDefault="00E7140D" w:rsidP="00A63C1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9A64C3" wp14:editId="28187883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D23BA1" w:rsidP="00D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ORGANIZACJA USŁUG ŻYWIENIOWYCH</w:t>
            </w:r>
          </w:p>
        </w:tc>
      </w:tr>
      <w:tr w:rsidR="00EA2721" w:rsidRPr="00842D3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FB6676" w:rsidRDefault="00FB6676" w:rsidP="00D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6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 OF FOOD AND BEVERAGES SERVICES</w:t>
            </w:r>
          </w:p>
        </w:tc>
      </w:tr>
    </w:tbl>
    <w:p w:rsidR="00177487" w:rsidRPr="00FB6676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2A307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D7FA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2A307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D77E1A" w:rsidP="00D77E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Usługi Żywieniowe </w:t>
            </w:r>
            <w:r w:rsidR="008C04FA">
              <w:rPr>
                <w:rFonts w:ascii="Times New Roman" w:hAnsi="Times New Roman" w:cs="Times New Roman"/>
                <w:b/>
                <w:sz w:val="24"/>
                <w:szCs w:val="20"/>
              </w:rPr>
              <w:t>i Dietetyka</w:t>
            </w:r>
          </w:p>
        </w:tc>
      </w:tr>
      <w:tr w:rsidR="009F7358" w:rsidRPr="001671B0" w:rsidTr="002A307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33508C" w:rsidP="00D77E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D77E1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pierwszego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stopnia</w:t>
            </w:r>
          </w:p>
        </w:tc>
      </w:tr>
      <w:tr w:rsidR="00602719" w:rsidRPr="001671B0" w:rsidTr="002A307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826E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33508C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2A307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2A307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2A307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D23BA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D77E1A">
        <w:tc>
          <w:tcPr>
            <w:tcW w:w="1526" w:type="dxa"/>
            <w:vAlign w:val="center"/>
          </w:tcPr>
          <w:p w:rsidR="00367CCE" w:rsidRPr="00367CCE" w:rsidRDefault="00D77E1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EE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EE4C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826E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826E53" w:rsidP="00D77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CD1E04" w:rsidP="00D77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2A3078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2A3078">
        <w:tc>
          <w:tcPr>
            <w:tcW w:w="10060" w:type="dxa"/>
          </w:tcPr>
          <w:p w:rsidR="004F47B4" w:rsidRPr="00B73E75" w:rsidRDefault="003350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376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2A3078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2A3078">
        <w:tc>
          <w:tcPr>
            <w:tcW w:w="10060" w:type="dxa"/>
          </w:tcPr>
          <w:p w:rsidR="004F47B4" w:rsidRPr="0033508C" w:rsidRDefault="0033508C" w:rsidP="00B2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Pr="0033508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apoznanie studentów z </w:t>
            </w:r>
            <w:r w:rsidR="00D23B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organizacj</w:t>
            </w:r>
            <w:r w:rsidR="00B20D1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ą</w:t>
            </w:r>
            <w:r w:rsidR="00D23B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zasadami funkcjonowania rynku usług żywieniowych</w:t>
            </w:r>
            <w:r w:rsidR="00376A4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AF7182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842D30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3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842D3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4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F7182" w:rsidRPr="00842D3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E6C8F" w:rsidRPr="00B73E75" w:rsidTr="00B20D16">
        <w:tc>
          <w:tcPr>
            <w:tcW w:w="959" w:type="dxa"/>
            <w:vAlign w:val="center"/>
          </w:tcPr>
          <w:p w:rsidR="006E6C8F" w:rsidRPr="00B73E75" w:rsidRDefault="006E6C8F" w:rsidP="00F2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E6C8F" w:rsidRPr="00F25F73" w:rsidRDefault="006E6C8F" w:rsidP="00842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określić miejsce usług żywieniowych w życiu konsumenta oraz czynniki</w:t>
            </w:r>
            <w:r>
              <w:rPr>
                <w:rFonts w:ascii="FreeSerif" w:eastAsia="FreeSerif" w:cs="FreeSerif"/>
                <w:i/>
                <w:iCs/>
                <w:sz w:val="20"/>
                <w:szCs w:val="20"/>
              </w:rPr>
              <w:t xml:space="preserve"> </w:t>
            </w:r>
            <w:r w:rsidRPr="00405EF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ich rozwoju</w:t>
            </w:r>
            <w:r w:rsid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FreeSerif" w:eastAsia="FreeSerif" w:cs="FreeSerif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6E6C8F" w:rsidRPr="00AC02BE" w:rsidRDefault="006E6C8F" w:rsidP="001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NK_W07, NK_U05</w:t>
            </w:r>
          </w:p>
        </w:tc>
      </w:tr>
      <w:tr w:rsidR="006E6C8F" w:rsidRPr="00B73E75" w:rsidTr="00B20D16">
        <w:tc>
          <w:tcPr>
            <w:tcW w:w="959" w:type="dxa"/>
            <w:vAlign w:val="center"/>
          </w:tcPr>
          <w:p w:rsidR="006E6C8F" w:rsidRDefault="006E6C8F" w:rsidP="00F25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6E6C8F" w:rsidRPr="00405EF1" w:rsidRDefault="006E6C8F" w:rsidP="00B2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umie przedstawić cechy i wyróżniki zachowań żywieniowych konsumentów w aspekcie rozwoju i zarządzania usługami żywieniowymi.</w:t>
            </w:r>
          </w:p>
        </w:tc>
        <w:tc>
          <w:tcPr>
            <w:tcW w:w="2015" w:type="dxa"/>
            <w:vAlign w:val="center"/>
          </w:tcPr>
          <w:p w:rsidR="006E6C8F" w:rsidRPr="00AC02BE" w:rsidRDefault="006E6C8F" w:rsidP="0013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NK_U09</w:t>
            </w:r>
          </w:p>
        </w:tc>
      </w:tr>
      <w:tr w:rsidR="006E6C8F" w:rsidRPr="00B73E75" w:rsidTr="00B20D16">
        <w:tc>
          <w:tcPr>
            <w:tcW w:w="959" w:type="dxa"/>
            <w:vAlign w:val="center"/>
          </w:tcPr>
          <w:p w:rsidR="006E6C8F" w:rsidRDefault="006E6C8F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6E6C8F" w:rsidRPr="00F25F73" w:rsidRDefault="006E6C8F" w:rsidP="00B2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identyfikować i dobierać różne formy usług żywieniowych do potrzeb konsumentów</w:t>
            </w:r>
            <w:r>
              <w:rPr>
                <w:rFonts w:ascii="FreeSerif" w:eastAsia="FreeSerif" w:cs="Free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E6C8F" w:rsidRPr="00AC02BE" w:rsidRDefault="006E6C8F" w:rsidP="0013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NK_W07,NK_K04</w:t>
            </w:r>
          </w:p>
        </w:tc>
      </w:tr>
      <w:tr w:rsidR="006E6C8F" w:rsidRPr="00B73E75" w:rsidTr="00B20D16">
        <w:tc>
          <w:tcPr>
            <w:tcW w:w="959" w:type="dxa"/>
            <w:vAlign w:val="center"/>
          </w:tcPr>
          <w:p w:rsidR="006E6C8F" w:rsidRDefault="006E6C8F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6E6C8F" w:rsidRPr="00B20D16" w:rsidRDefault="006E6C8F" w:rsidP="00B2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1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umie dokonać analizy rynku usług żywieniowych oraz zaprojektować ofertę usług do różnych segmentów rynku.</w:t>
            </w:r>
          </w:p>
        </w:tc>
        <w:tc>
          <w:tcPr>
            <w:tcW w:w="2015" w:type="dxa"/>
            <w:vAlign w:val="center"/>
          </w:tcPr>
          <w:p w:rsidR="006E6C8F" w:rsidRPr="00AC02BE" w:rsidRDefault="006E6C8F" w:rsidP="001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NK_U05, NK_U07</w:t>
            </w:r>
          </w:p>
        </w:tc>
      </w:tr>
      <w:tr w:rsidR="006E6C8F" w:rsidRPr="00B73E75" w:rsidTr="00B20D16">
        <w:tc>
          <w:tcPr>
            <w:tcW w:w="959" w:type="dxa"/>
            <w:vAlign w:val="center"/>
          </w:tcPr>
          <w:p w:rsidR="006E6C8F" w:rsidRPr="00A93C1D" w:rsidRDefault="006E6C8F" w:rsidP="00F2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6E6C8F" w:rsidRPr="00B20D16" w:rsidRDefault="006E6C8F" w:rsidP="00B20D1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B20D1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określić priorytety społeczne w rozwoju usług żywieniowych i rozumie ich ważność, uzasadnia społeczną wagę jakości żywienia.</w:t>
            </w:r>
          </w:p>
        </w:tc>
        <w:tc>
          <w:tcPr>
            <w:tcW w:w="2015" w:type="dxa"/>
            <w:vAlign w:val="center"/>
          </w:tcPr>
          <w:p w:rsidR="006E6C8F" w:rsidRPr="00AC02BE" w:rsidRDefault="006E6C8F" w:rsidP="001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5D6E18">
        <w:tc>
          <w:tcPr>
            <w:tcW w:w="5778" w:type="dxa"/>
            <w:vAlign w:val="center"/>
          </w:tcPr>
          <w:p w:rsidR="00E41568" w:rsidRPr="006D6C0F" w:rsidRDefault="006D6C0F" w:rsidP="00D2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C0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Pojęcie</w:t>
            </w:r>
            <w:r w:rsidR="00D2799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6D6C0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zakres</w:t>
            </w:r>
            <w:r w:rsidR="002F11A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podział</w:t>
            </w:r>
            <w:r w:rsidRPr="006D6C0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D2799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funkcje </w:t>
            </w:r>
            <w:r w:rsidRPr="006D6C0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usług żywieniowych.</w:t>
            </w:r>
          </w:p>
        </w:tc>
        <w:tc>
          <w:tcPr>
            <w:tcW w:w="567" w:type="dxa"/>
            <w:vAlign w:val="center"/>
          </w:tcPr>
          <w:p w:rsidR="00E41568" w:rsidRPr="00B73E75" w:rsidRDefault="00826E53" w:rsidP="004E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DA1A53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F47B4" w:rsidRPr="00B73E75" w:rsidTr="005D6E18">
        <w:tc>
          <w:tcPr>
            <w:tcW w:w="5778" w:type="dxa"/>
            <w:vAlign w:val="center"/>
          </w:tcPr>
          <w:p w:rsidR="004F47B4" w:rsidRPr="00D2799E" w:rsidRDefault="00D2799E" w:rsidP="00D2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99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Mikro i makroekonomiczne determinanty rozwoju rynku usług żywieniowych.</w:t>
            </w:r>
          </w:p>
        </w:tc>
        <w:tc>
          <w:tcPr>
            <w:tcW w:w="567" w:type="dxa"/>
            <w:vAlign w:val="center"/>
          </w:tcPr>
          <w:p w:rsidR="004F47B4" w:rsidRPr="00B73E75" w:rsidRDefault="00826E53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022876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455AEB" w:rsidP="002F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</w:t>
            </w:r>
            <w:r w:rsidR="002F1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A53" w:rsidRPr="00B73E75" w:rsidTr="005D6E18">
        <w:tc>
          <w:tcPr>
            <w:tcW w:w="5778" w:type="dxa"/>
            <w:vAlign w:val="center"/>
          </w:tcPr>
          <w:p w:rsidR="00DA1A53" w:rsidRDefault="00D2799E" w:rsidP="00D2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Konsument na rynku usług gastronomicznych - jego cechy 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lastRenderedPageBreak/>
              <w:t xml:space="preserve">oczekiwania. </w:t>
            </w:r>
          </w:p>
        </w:tc>
        <w:tc>
          <w:tcPr>
            <w:tcW w:w="567" w:type="dxa"/>
            <w:vAlign w:val="center"/>
          </w:tcPr>
          <w:p w:rsidR="00DA1A53" w:rsidRPr="00B73E75" w:rsidRDefault="00826E53" w:rsidP="00826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DA1A53" w:rsidRPr="00B73E75" w:rsidRDefault="00022876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FD0C8B" w:rsidP="002F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2F11A3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DA1A53" w:rsidRPr="00B73E75" w:rsidTr="005D6E18">
        <w:tc>
          <w:tcPr>
            <w:tcW w:w="5778" w:type="dxa"/>
            <w:vAlign w:val="center"/>
          </w:tcPr>
          <w:p w:rsidR="00DA1A53" w:rsidRDefault="00D2799E" w:rsidP="00D2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Produkt w usługach gastronomicznych – cechy,  struktura i poziomy.</w:t>
            </w:r>
            <w:r w:rsidR="00FD0C8B" w:rsidRP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A1A53" w:rsidRPr="00B73E75" w:rsidRDefault="00826E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6216A7" w:rsidP="004E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EKP_02 </w:t>
            </w:r>
          </w:p>
        </w:tc>
      </w:tr>
      <w:tr w:rsidR="00D24CF3" w:rsidRPr="00B73E75" w:rsidTr="005D6E18">
        <w:tc>
          <w:tcPr>
            <w:tcW w:w="5778" w:type="dxa"/>
            <w:vAlign w:val="center"/>
          </w:tcPr>
          <w:p w:rsidR="00D24CF3" w:rsidRDefault="002F11A3" w:rsidP="002F1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Podstawowe formy i podsystemy rynku usług żywieniowych. </w:t>
            </w:r>
          </w:p>
        </w:tc>
        <w:tc>
          <w:tcPr>
            <w:tcW w:w="567" w:type="dxa"/>
            <w:vAlign w:val="center"/>
          </w:tcPr>
          <w:p w:rsidR="00D24CF3" w:rsidRPr="00B73E75" w:rsidRDefault="00826E5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24CF3" w:rsidRPr="00B73E75" w:rsidRDefault="00D24CF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4CF3" w:rsidRPr="00B73E75" w:rsidRDefault="00D24CF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4CF3" w:rsidRPr="00B73E75" w:rsidRDefault="00D24CF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24CF3" w:rsidRPr="00B73E75" w:rsidRDefault="00D24CF3" w:rsidP="004E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D24CF3" w:rsidRPr="00B73E75" w:rsidTr="005D6E18">
        <w:tc>
          <w:tcPr>
            <w:tcW w:w="5778" w:type="dxa"/>
            <w:vAlign w:val="center"/>
          </w:tcPr>
          <w:p w:rsidR="00D24CF3" w:rsidRPr="00D24CF3" w:rsidRDefault="002F11A3" w:rsidP="002F11A3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Strategie produktu w gastronomii indywidualnej i systemowej. </w:t>
            </w:r>
          </w:p>
        </w:tc>
        <w:tc>
          <w:tcPr>
            <w:tcW w:w="567" w:type="dxa"/>
            <w:vAlign w:val="center"/>
          </w:tcPr>
          <w:p w:rsidR="00D24CF3" w:rsidRPr="00B73E75" w:rsidRDefault="00826E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24CF3" w:rsidRPr="00B73E75" w:rsidRDefault="00D77E1A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24CF3" w:rsidRPr="00B73E75" w:rsidRDefault="00D24CF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4CF3" w:rsidRPr="00B73E75" w:rsidRDefault="00D24CF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24CF3" w:rsidRPr="00B73E75" w:rsidRDefault="00D24CF3" w:rsidP="004E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4E2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4E2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1A53" w:rsidRPr="00B73E75" w:rsidTr="005D6E18">
        <w:tc>
          <w:tcPr>
            <w:tcW w:w="5778" w:type="dxa"/>
            <w:vAlign w:val="center"/>
          </w:tcPr>
          <w:p w:rsidR="00DA1A53" w:rsidRPr="00D24CF3" w:rsidRDefault="002F11A3" w:rsidP="002F1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Dystrybucja usług żywieniowych. </w:t>
            </w:r>
          </w:p>
        </w:tc>
        <w:tc>
          <w:tcPr>
            <w:tcW w:w="567" w:type="dxa"/>
            <w:vAlign w:val="center"/>
          </w:tcPr>
          <w:p w:rsidR="00DA1A53" w:rsidRPr="00B73E75" w:rsidRDefault="00826E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1A53" w:rsidRPr="00B73E75" w:rsidRDefault="00022876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C1301C" w:rsidP="004E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4E2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DA1A53" w:rsidRPr="00B73E75" w:rsidTr="005D6E18">
        <w:tc>
          <w:tcPr>
            <w:tcW w:w="5778" w:type="dxa"/>
            <w:vAlign w:val="center"/>
          </w:tcPr>
          <w:p w:rsidR="00DA1A53" w:rsidRPr="00D24CF3" w:rsidRDefault="004E2D76" w:rsidP="00BC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Kształtowanie jakości i konkurencyjności usług </w:t>
            </w:r>
            <w:r w:rsidR="00BC526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żywieniowych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BC526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jakość techniczna i funkcjonalna,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systemy zapewnienia jakości w gastronomi</w:t>
            </w:r>
            <w:r w:rsidR="00BC526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DA1A53" w:rsidRPr="00B73E75" w:rsidRDefault="00826E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A1A53" w:rsidRPr="00B73E75" w:rsidRDefault="00D77E1A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C1301C" w:rsidP="00BC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</w:t>
            </w:r>
            <w:r w:rsidR="00BC5262">
              <w:rPr>
                <w:rFonts w:ascii="Times New Roman" w:hAnsi="Times New Roman" w:cs="Times New Roman"/>
                <w:sz w:val="20"/>
                <w:szCs w:val="20"/>
              </w:rPr>
              <w:t>2, EKP_05</w:t>
            </w:r>
          </w:p>
        </w:tc>
      </w:tr>
      <w:tr w:rsidR="00BC5262" w:rsidRPr="00B73E75" w:rsidTr="005D6E18">
        <w:tc>
          <w:tcPr>
            <w:tcW w:w="5778" w:type="dxa"/>
            <w:vAlign w:val="center"/>
          </w:tcPr>
          <w:p w:rsidR="00BC5262" w:rsidRDefault="00BC5262" w:rsidP="00BC526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Marketing i promocja na rynku usług żywieniowych.</w:t>
            </w:r>
          </w:p>
        </w:tc>
        <w:tc>
          <w:tcPr>
            <w:tcW w:w="567" w:type="dxa"/>
            <w:vAlign w:val="center"/>
          </w:tcPr>
          <w:p w:rsidR="00BC5262" w:rsidRDefault="00826E53" w:rsidP="00826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5262" w:rsidRDefault="00022876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C5262" w:rsidRPr="00B73E75" w:rsidRDefault="00BC5262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262" w:rsidRPr="00B73E75" w:rsidRDefault="00BC5262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C5262" w:rsidRDefault="00BC5262" w:rsidP="00BC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EKP_05</w:t>
            </w:r>
          </w:p>
        </w:tc>
      </w:tr>
      <w:tr w:rsidR="00BC5262" w:rsidRPr="00B73E75" w:rsidTr="005D6E18">
        <w:tc>
          <w:tcPr>
            <w:tcW w:w="5778" w:type="dxa"/>
            <w:vAlign w:val="center"/>
          </w:tcPr>
          <w:p w:rsidR="00BC5262" w:rsidRPr="00BC5262" w:rsidRDefault="00BC5262" w:rsidP="00BC5262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BC526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trendy i innowacje w strategii rozwoju gastronomii w Polsce i na świecie.</w:t>
            </w:r>
          </w:p>
        </w:tc>
        <w:tc>
          <w:tcPr>
            <w:tcW w:w="567" w:type="dxa"/>
            <w:vAlign w:val="center"/>
          </w:tcPr>
          <w:p w:rsidR="00BC5262" w:rsidRDefault="00826E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5262" w:rsidRDefault="00D77E1A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5262" w:rsidRPr="00B73E75" w:rsidRDefault="00BC5262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262" w:rsidRPr="00B73E75" w:rsidRDefault="00BC5262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C5262" w:rsidRDefault="00BC5262" w:rsidP="00BC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EKP_04,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826E5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022876" w:rsidP="00D77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2A3078" w:rsidRDefault="006F6C43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2A3078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F7182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2A3078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6422A4" w:rsidRPr="00B73E75" w:rsidTr="002A3078">
        <w:tc>
          <w:tcPr>
            <w:tcW w:w="893" w:type="dxa"/>
            <w:vAlign w:val="center"/>
          </w:tcPr>
          <w:p w:rsidR="006422A4" w:rsidRPr="00B73E75" w:rsidRDefault="006422A4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422A4" w:rsidRPr="00B73E75" w:rsidRDefault="006422A4" w:rsidP="00DB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422A4" w:rsidRPr="00B73E75" w:rsidRDefault="006422A4" w:rsidP="00DB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2A4" w:rsidRPr="00B73E75" w:rsidTr="002A3078">
        <w:tc>
          <w:tcPr>
            <w:tcW w:w="893" w:type="dxa"/>
            <w:vAlign w:val="center"/>
          </w:tcPr>
          <w:p w:rsidR="006422A4" w:rsidRDefault="006422A4" w:rsidP="00B55D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  <w:vAlign w:val="center"/>
          </w:tcPr>
          <w:p w:rsidR="006422A4" w:rsidRDefault="006422A4" w:rsidP="00EE0B30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6422A4" w:rsidRDefault="006422A4" w:rsidP="00DB454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422A4" w:rsidRDefault="006422A4" w:rsidP="00DB454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2A4" w:rsidRPr="00B73E75" w:rsidTr="002A3078">
        <w:tc>
          <w:tcPr>
            <w:tcW w:w="893" w:type="dxa"/>
            <w:vAlign w:val="center"/>
          </w:tcPr>
          <w:p w:rsidR="006422A4" w:rsidRDefault="006422A4" w:rsidP="00B55D06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vAlign w:val="center"/>
          </w:tcPr>
          <w:p w:rsidR="006422A4" w:rsidRDefault="006422A4" w:rsidP="00EE0B30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6422A4" w:rsidRDefault="006422A4" w:rsidP="00DB454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422A4" w:rsidRDefault="006422A4" w:rsidP="00DB454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6422A4" w:rsidRDefault="006422A4" w:rsidP="00B55D0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22A4" w:rsidRPr="00B73E75" w:rsidTr="002A3078">
        <w:tc>
          <w:tcPr>
            <w:tcW w:w="893" w:type="dxa"/>
            <w:vAlign w:val="center"/>
          </w:tcPr>
          <w:p w:rsidR="006422A4" w:rsidRDefault="006422A4" w:rsidP="00B55D06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  <w:vAlign w:val="center"/>
          </w:tcPr>
          <w:p w:rsidR="006422A4" w:rsidRDefault="006422A4" w:rsidP="00EE0B30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6422A4" w:rsidRDefault="006422A4" w:rsidP="00DB454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422A4" w:rsidRDefault="006422A4" w:rsidP="00DB454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6422A4" w:rsidRPr="00B73E75" w:rsidRDefault="006422A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6422A4" w:rsidRDefault="006422A4" w:rsidP="00B55D0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17F65" w:rsidRPr="00B73E75" w:rsidTr="002A3078">
        <w:tc>
          <w:tcPr>
            <w:tcW w:w="893" w:type="dxa"/>
            <w:vAlign w:val="center"/>
          </w:tcPr>
          <w:p w:rsidR="00917F65" w:rsidRPr="00A93C1D" w:rsidRDefault="00917F65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90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  <w:vAlign w:val="center"/>
          </w:tcPr>
          <w:p w:rsidR="00917F65" w:rsidRPr="005A1726" w:rsidRDefault="00CC0190" w:rsidP="00EE0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917F65" w:rsidRPr="00B73E75" w:rsidRDefault="00917F6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17F65" w:rsidRPr="00B73E75" w:rsidRDefault="00917F6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17F65" w:rsidRPr="00B73E75" w:rsidRDefault="00917F6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917F65" w:rsidRPr="005A1726" w:rsidRDefault="00CC0190" w:rsidP="00DB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917F65" w:rsidRPr="00B73E75" w:rsidRDefault="00917F6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917F65" w:rsidRPr="005A1726" w:rsidRDefault="00CC0190" w:rsidP="00DB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917F65" w:rsidRPr="00B73E75" w:rsidRDefault="00917F6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7F65" w:rsidRPr="005A1726" w:rsidRDefault="00CC0190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E0B30" w:rsidRDefault="00EE0B30" w:rsidP="00EE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wszystkich ćwiczeniach, przeprowadzenie prezentacji</w:t>
            </w:r>
            <w:r w:rsidR="006422A4">
              <w:rPr>
                <w:rFonts w:ascii="Times New Roman" w:hAnsi="Times New Roman" w:cs="Times New Roman"/>
                <w:sz w:val="20"/>
                <w:szCs w:val="20"/>
              </w:rPr>
              <w:t>, złożenie sprawozdania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badań oraz zaliczenie ćwiczeń ma ocenę pozytywną.</w:t>
            </w:r>
          </w:p>
          <w:p w:rsidR="00E41568" w:rsidRDefault="0040215F" w:rsidP="00EE4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EE0B30">
              <w:rPr>
                <w:rFonts w:ascii="Times New Roman" w:hAnsi="Times New Roman" w:cs="Times New Roman"/>
                <w:sz w:val="20"/>
                <w:szCs w:val="20"/>
              </w:rPr>
              <w:t xml:space="preserve"> testow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E0B30">
              <w:rPr>
                <w:rFonts w:ascii="Times New Roman" w:hAnsi="Times New Roman" w:cs="Times New Roman"/>
                <w:sz w:val="20"/>
                <w:szCs w:val="20"/>
              </w:rPr>
              <w:t xml:space="preserve"> z przedmiotu ( uzyskanie co najmniej 60%  ogólnej punktacji z pytań).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2A3078" w:rsidRDefault="00E71601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02287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02287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022876" w:rsidP="00CD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EE4C1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EE4C1B" w:rsidP="0049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EE4C1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EE4C1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EE4C1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A11E7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11E7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A70AA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A11E77" w:rsidP="00EE4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4C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C4A9E" w:rsidRPr="00F379F2" w:rsidRDefault="00EE4C1B" w:rsidP="0002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EE4C1B" w:rsidP="00CD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EE4C1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E4C1B" w:rsidP="0002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E4C1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22876" w:rsidP="00A1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7B790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2A3078" w:rsidRDefault="00B913D6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0B2918">
        <w:tc>
          <w:tcPr>
            <w:tcW w:w="10061" w:type="dxa"/>
            <w:vAlign w:val="center"/>
          </w:tcPr>
          <w:p w:rsidR="002C0C6A" w:rsidRPr="00842D30" w:rsidRDefault="002C0C6A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</w:pPr>
            <w:bookmarkStart w:id="0" w:name="_GoBack" w:colFirst="0" w:colLast="0"/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Arkuszyński Cz.</w:t>
            </w:r>
            <w:r w:rsidR="005D6097"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Gastronomia hotelowa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Wyd. </w:t>
            </w:r>
            <w:proofErr w:type="spellStart"/>
            <w:r w:rsidR="004916DE"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Ministerstwo</w:t>
            </w:r>
            <w:proofErr w:type="spellEnd"/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Gospodarki</w:t>
            </w:r>
            <w:proofErr w:type="spellEnd"/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, Warszawa 2001</w:t>
            </w:r>
          </w:p>
          <w:p w:rsidR="006E6C8F" w:rsidRPr="00842D30" w:rsidRDefault="006E6C8F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 xml:space="preserve">Cousins J.,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val="en-US"/>
              </w:rPr>
              <w:t>Food and Beverage Service, 10th Edition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, Hodder &amp; Stoughton General Division, 2020</w:t>
            </w:r>
          </w:p>
          <w:p w:rsidR="006E6C8F" w:rsidRPr="00842D30" w:rsidRDefault="006E6C8F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Davis B.,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 xml:space="preserve">Lockwood A., Alcott P., </w:t>
            </w:r>
            <w:proofErr w:type="spellStart"/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Pantelidis</w:t>
            </w:r>
            <w:proofErr w:type="spellEnd"/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 xml:space="preserve"> I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val="en-US"/>
              </w:rPr>
              <w:t>., Food and Beverage Management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, Routledge, 2018</w:t>
            </w:r>
          </w:p>
          <w:p w:rsidR="002C0C6A" w:rsidRPr="00842D30" w:rsidRDefault="002C0C6A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Dominik P.,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Zasady i organizacja żywienia w turystyce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Alma</w:t>
            </w:r>
            <w:r w:rsidR="00792000"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er, Warszawa 2011</w:t>
            </w:r>
          </w:p>
          <w:p w:rsidR="002C0C6A" w:rsidRPr="00842D30" w:rsidRDefault="002C0C6A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Gawęcki J., Mossor-Pietraszewska T. (red.),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Kompendium wiedzy o żywności, żywieniu i zdrowiu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PWN, Warszawa 2008</w:t>
            </w:r>
          </w:p>
          <w:p w:rsidR="006422A4" w:rsidRPr="00842D30" w:rsidRDefault="006422A4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Górska-Warsewicz H., Sawicka B., Mikulska T.,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Działalność gospodarcza w gastronomii, 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WSiP, Warszawa 2017</w:t>
            </w:r>
          </w:p>
          <w:p w:rsidR="002C0C6A" w:rsidRPr="00842D30" w:rsidRDefault="002C0C6A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Grontkowska A., Klepacki B.,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Ekonomika i organizacja w gastronomii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Format-AB, Warszawa 2008</w:t>
            </w:r>
          </w:p>
          <w:p w:rsidR="002C0C6A" w:rsidRPr="00842D30" w:rsidRDefault="002C0C6A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Jeżewska-Zychowicz M.,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Zachowania żywieniowe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SGGW, Warszawa 2007</w:t>
            </w:r>
          </w:p>
          <w:p w:rsidR="004916DE" w:rsidRPr="00842D30" w:rsidRDefault="004916DE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Kmiołek A.,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Usługi gastronomiczne, 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WSiP, Warszawa 2013</w:t>
            </w:r>
          </w:p>
          <w:p w:rsidR="002C0C6A" w:rsidRPr="00842D30" w:rsidRDefault="002C0C6A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Milewska M., Prączko A., Stasiak A.,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Podstawy gastronomii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PWE, Warszawa 201</w:t>
            </w:r>
            <w:r w:rsidR="004916DE"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7</w:t>
            </w:r>
          </w:p>
          <w:p w:rsidR="00792000" w:rsidRPr="00842D30" w:rsidRDefault="00792000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Mołoniewicz J.M.,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Menedżer gastronomii,</w:t>
            </w:r>
            <w:r w:rsidR="004916DE"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916DE"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 Consulting MOJA, Warszawa 2017</w:t>
            </w:r>
          </w:p>
          <w:p w:rsidR="002C0C6A" w:rsidRPr="00842D30" w:rsidRDefault="002C0C6A" w:rsidP="002C0C6A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Pilska M., Jeżewska-Zychowicz M.,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Psychologia żywienia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SGGW, Warszawa 2008</w:t>
            </w:r>
          </w:p>
          <w:p w:rsidR="00F85CC5" w:rsidRPr="00842D30" w:rsidRDefault="002C0C6A" w:rsidP="002C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Sala J., </w:t>
            </w:r>
            <w:r w:rsidRPr="00842D3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Marketing w gastronomii</w:t>
            </w:r>
            <w:r w:rsidRPr="00842D3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PWE, Warszawa 2011</w:t>
            </w:r>
          </w:p>
        </w:tc>
      </w:tr>
      <w:bookmarkEnd w:id="0"/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41568" w:rsidRPr="005E66A4" w:rsidRDefault="00F85CC5" w:rsidP="005E66A4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5E66A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Bywalec Cz., Rudnicki L., </w:t>
            </w:r>
            <w:r w:rsidRPr="00193F7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Konsumpcja</w:t>
            </w:r>
            <w:r w:rsidRPr="005E66A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PWE, Warszaw 2002</w:t>
            </w:r>
          </w:p>
          <w:p w:rsidR="00792000" w:rsidRPr="00792000" w:rsidRDefault="00792000" w:rsidP="00792000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79200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Czasopisma: </w:t>
            </w:r>
            <w:r w:rsidRPr="0079200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Przegląd Gastronomiczny, Przemysł Spoż</w:t>
            </w:r>
            <w:r w:rsidRPr="0079200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</w:t>
            </w:r>
            <w:r w:rsidRPr="0079200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wczy</w:t>
            </w:r>
          </w:p>
          <w:p w:rsidR="00792000" w:rsidRPr="00792000" w:rsidRDefault="00792000" w:rsidP="00792000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79200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Czubała A., </w:t>
            </w:r>
            <w:r w:rsidRPr="0079200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Dystrybucja produktów</w:t>
            </w:r>
            <w:r w:rsidRPr="0079200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79200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PWE, Warszawa 2001</w:t>
            </w:r>
          </w:p>
          <w:p w:rsidR="005E66A4" w:rsidRPr="00792000" w:rsidRDefault="00792000" w:rsidP="00792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00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Górska-Warsewicz H., </w:t>
            </w:r>
            <w:r w:rsidRPr="00792000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Rachunkowość i finanse w gastronomii</w:t>
            </w:r>
            <w:r w:rsidRPr="0079200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Format-AB, Warszawa 2008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921A59" w:rsidP="0092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B7901">
              <w:rPr>
                <w:rFonts w:ascii="Times New Roman" w:hAnsi="Times New Roman" w:cs="Times New Roman"/>
                <w:sz w:val="20"/>
                <w:szCs w:val="20"/>
              </w:rPr>
              <w:t>r Romuald Zabrocki</w:t>
            </w:r>
          </w:p>
        </w:tc>
        <w:tc>
          <w:tcPr>
            <w:tcW w:w="3999" w:type="dxa"/>
          </w:tcPr>
          <w:p w:rsidR="008D62DB" w:rsidRDefault="007B7901" w:rsidP="00EE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041F"/>
    <w:multiLevelType w:val="hybridMultilevel"/>
    <w:tmpl w:val="B0B2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3280"/>
    <w:multiLevelType w:val="hybridMultilevel"/>
    <w:tmpl w:val="3436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45915"/>
    <w:multiLevelType w:val="hybridMultilevel"/>
    <w:tmpl w:val="97AAE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22876"/>
    <w:rsid w:val="00065F81"/>
    <w:rsid w:val="00082D00"/>
    <w:rsid w:val="000A4CC2"/>
    <w:rsid w:val="000B20E5"/>
    <w:rsid w:val="000B2918"/>
    <w:rsid w:val="000C5A2E"/>
    <w:rsid w:val="001251EC"/>
    <w:rsid w:val="001671B0"/>
    <w:rsid w:val="00177487"/>
    <w:rsid w:val="00193F79"/>
    <w:rsid w:val="001A1E43"/>
    <w:rsid w:val="001E5FE3"/>
    <w:rsid w:val="00204699"/>
    <w:rsid w:val="00231DE0"/>
    <w:rsid w:val="00250A61"/>
    <w:rsid w:val="00264119"/>
    <w:rsid w:val="00267183"/>
    <w:rsid w:val="00296265"/>
    <w:rsid w:val="00296F37"/>
    <w:rsid w:val="002A3078"/>
    <w:rsid w:val="002C0C6A"/>
    <w:rsid w:val="002D26E6"/>
    <w:rsid w:val="002E722C"/>
    <w:rsid w:val="002F11A3"/>
    <w:rsid w:val="002F33B0"/>
    <w:rsid w:val="00301F2C"/>
    <w:rsid w:val="003042D8"/>
    <w:rsid w:val="00311C4F"/>
    <w:rsid w:val="00315479"/>
    <w:rsid w:val="0033508C"/>
    <w:rsid w:val="003616FC"/>
    <w:rsid w:val="00367CCE"/>
    <w:rsid w:val="00376A42"/>
    <w:rsid w:val="003A6F9E"/>
    <w:rsid w:val="003C6629"/>
    <w:rsid w:val="003D528D"/>
    <w:rsid w:val="0040215F"/>
    <w:rsid w:val="00404FAF"/>
    <w:rsid w:val="00405EF1"/>
    <w:rsid w:val="00412278"/>
    <w:rsid w:val="00442067"/>
    <w:rsid w:val="00455AEB"/>
    <w:rsid w:val="0046763D"/>
    <w:rsid w:val="00475AF0"/>
    <w:rsid w:val="00476965"/>
    <w:rsid w:val="00477A2B"/>
    <w:rsid w:val="00482229"/>
    <w:rsid w:val="004916DE"/>
    <w:rsid w:val="00494002"/>
    <w:rsid w:val="0049651E"/>
    <w:rsid w:val="004A3C7C"/>
    <w:rsid w:val="004B1FB2"/>
    <w:rsid w:val="004E2D76"/>
    <w:rsid w:val="004E2E9F"/>
    <w:rsid w:val="004F47B4"/>
    <w:rsid w:val="004F605E"/>
    <w:rsid w:val="00550A4F"/>
    <w:rsid w:val="0058657A"/>
    <w:rsid w:val="005A766B"/>
    <w:rsid w:val="005D6097"/>
    <w:rsid w:val="005D6E18"/>
    <w:rsid w:val="005D7FAF"/>
    <w:rsid w:val="005E66A4"/>
    <w:rsid w:val="006021E6"/>
    <w:rsid w:val="00602719"/>
    <w:rsid w:val="00620D57"/>
    <w:rsid w:val="006216A7"/>
    <w:rsid w:val="00622BB0"/>
    <w:rsid w:val="00624A5D"/>
    <w:rsid w:val="00626F46"/>
    <w:rsid w:val="006422A4"/>
    <w:rsid w:val="00643104"/>
    <w:rsid w:val="00651F07"/>
    <w:rsid w:val="00670D90"/>
    <w:rsid w:val="00686652"/>
    <w:rsid w:val="006C21FE"/>
    <w:rsid w:val="006C49E5"/>
    <w:rsid w:val="006D6C0F"/>
    <w:rsid w:val="006E6C8F"/>
    <w:rsid w:val="006F6C43"/>
    <w:rsid w:val="00792000"/>
    <w:rsid w:val="0079419B"/>
    <w:rsid w:val="007A0D66"/>
    <w:rsid w:val="007A5B94"/>
    <w:rsid w:val="007A74A3"/>
    <w:rsid w:val="007B7901"/>
    <w:rsid w:val="00826E53"/>
    <w:rsid w:val="00842D30"/>
    <w:rsid w:val="00842E65"/>
    <w:rsid w:val="008C04FA"/>
    <w:rsid w:val="008D62DB"/>
    <w:rsid w:val="00917F65"/>
    <w:rsid w:val="00921A59"/>
    <w:rsid w:val="00934797"/>
    <w:rsid w:val="009532D1"/>
    <w:rsid w:val="009B7DCD"/>
    <w:rsid w:val="009F7358"/>
    <w:rsid w:val="00A11E77"/>
    <w:rsid w:val="00A63C15"/>
    <w:rsid w:val="00A70AA4"/>
    <w:rsid w:val="00A727FE"/>
    <w:rsid w:val="00AB075F"/>
    <w:rsid w:val="00AC54E4"/>
    <w:rsid w:val="00AF7182"/>
    <w:rsid w:val="00B204A5"/>
    <w:rsid w:val="00B20D16"/>
    <w:rsid w:val="00B55209"/>
    <w:rsid w:val="00B73E75"/>
    <w:rsid w:val="00B8606B"/>
    <w:rsid w:val="00B913D6"/>
    <w:rsid w:val="00B95CA8"/>
    <w:rsid w:val="00BC51F0"/>
    <w:rsid w:val="00BC5262"/>
    <w:rsid w:val="00BE53F6"/>
    <w:rsid w:val="00C11EFA"/>
    <w:rsid w:val="00C1301C"/>
    <w:rsid w:val="00C327E8"/>
    <w:rsid w:val="00C57FD9"/>
    <w:rsid w:val="00C83DBE"/>
    <w:rsid w:val="00C97E91"/>
    <w:rsid w:val="00CA27ED"/>
    <w:rsid w:val="00CC0190"/>
    <w:rsid w:val="00CC2866"/>
    <w:rsid w:val="00CC4A9E"/>
    <w:rsid w:val="00CD1E04"/>
    <w:rsid w:val="00CF0B22"/>
    <w:rsid w:val="00CF45EF"/>
    <w:rsid w:val="00D176CF"/>
    <w:rsid w:val="00D21955"/>
    <w:rsid w:val="00D23BA1"/>
    <w:rsid w:val="00D24CF3"/>
    <w:rsid w:val="00D2799E"/>
    <w:rsid w:val="00D77E1A"/>
    <w:rsid w:val="00D871B3"/>
    <w:rsid w:val="00D930FB"/>
    <w:rsid w:val="00D97F76"/>
    <w:rsid w:val="00DA1A53"/>
    <w:rsid w:val="00DC23D9"/>
    <w:rsid w:val="00E135CF"/>
    <w:rsid w:val="00E41568"/>
    <w:rsid w:val="00E52AAD"/>
    <w:rsid w:val="00E61BE4"/>
    <w:rsid w:val="00E7140D"/>
    <w:rsid w:val="00E71601"/>
    <w:rsid w:val="00EA2721"/>
    <w:rsid w:val="00EC16CD"/>
    <w:rsid w:val="00EE0B30"/>
    <w:rsid w:val="00EE4C1B"/>
    <w:rsid w:val="00F0402C"/>
    <w:rsid w:val="00F114BB"/>
    <w:rsid w:val="00F25F73"/>
    <w:rsid w:val="00F31E50"/>
    <w:rsid w:val="00F379F2"/>
    <w:rsid w:val="00F4302A"/>
    <w:rsid w:val="00F77452"/>
    <w:rsid w:val="00F85CC5"/>
    <w:rsid w:val="00FA07ED"/>
    <w:rsid w:val="00FB1DCC"/>
    <w:rsid w:val="00FB6676"/>
    <w:rsid w:val="00FD0C8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3BA7"/>
  <w15:docId w15:val="{D4A2E46B-D296-487F-862E-C27C5407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FD10-CF9F-46D7-8FE3-BB9D7B0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3</cp:revision>
  <cp:lastPrinted>2018-01-17T09:46:00Z</cp:lastPrinted>
  <dcterms:created xsi:type="dcterms:W3CDTF">2022-05-01T18:08:00Z</dcterms:created>
  <dcterms:modified xsi:type="dcterms:W3CDTF">2022-05-08T09:02:00Z</dcterms:modified>
</cp:coreProperties>
</file>